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3184525</wp:posOffset>
            </wp:positionH>
            <wp:positionV relativeFrom="paragraph">
              <wp:posOffset>208280</wp:posOffset>
            </wp:positionV>
            <wp:extent cx="8877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3184525</wp:posOffset>
            </wp:positionH>
            <wp:positionV relativeFrom="paragraph">
              <wp:posOffset>93345</wp:posOffset>
            </wp:positionV>
            <wp:extent cx="8877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3960" w:right="1720" w:hanging="3559"/>
        <w:spacing w:after="0" w:line="519" w:lineRule="auto"/>
        <w:tabs>
          <w:tab w:leader="none" w:pos="908"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 xml:space="preserve">For the calendar year ended </w:t>
      </w:r>
      <w:r>
        <w:rPr>
          <w:rFonts w:ascii="Times New Roman" w:cs="Times New Roman" w:eastAsia="Times New Roman" w:hAnsi="Times New Roman"/>
          <w:sz w:val="18"/>
          <w:szCs w:val="18"/>
          <w:b w:val="1"/>
          <w:bCs w:val="1"/>
          <w:u w:val="single" w:color="auto"/>
          <w:color w:val="auto"/>
        </w:rPr>
        <w:t>December 31, 2015</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7" w:lineRule="exact"/>
        <w:rPr>
          <w:sz w:val="24"/>
          <w:szCs w:val="24"/>
          <w:color w:val="auto"/>
        </w:rPr>
      </w:pPr>
    </w:p>
    <w:p>
      <w:pPr>
        <w:ind w:left="920" w:hanging="519"/>
        <w:spacing w:after="0"/>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32"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82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900" w:type="dxa"/>
            <w:vAlign w:val="bottom"/>
            <w:tcBorders>
              <w:bottom w:val="single" w:sz="8" w:color="auto"/>
            </w:tcBorders>
          </w:tcPr>
          <w:p>
            <w:pPr>
              <w:spacing w:after="0"/>
              <w:rPr>
                <w:sz w:val="17"/>
                <w:szCs w:val="17"/>
                <w:color w:val="auto"/>
              </w:rPr>
            </w:pPr>
          </w:p>
        </w:tc>
      </w:tr>
      <w:tr>
        <w:trPr>
          <w:trHeight w:val="480"/>
        </w:trPr>
        <w:tc>
          <w:tcPr>
            <w:tcW w:w="412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auto"/>
              </w:rPr>
              <w:t>Commission file number: 0-20008</w:t>
            </w:r>
          </w:p>
        </w:tc>
      </w:tr>
    </w:tbl>
    <w:p>
      <w:pPr>
        <w:spacing w:after="0" w:line="186" w:lineRule="exact"/>
        <w:rPr>
          <w:sz w:val="24"/>
          <w:szCs w:val="24"/>
          <w:color w:val="auto"/>
        </w:rPr>
      </w:pPr>
    </w:p>
    <w:tbl>
      <w:tblPr>
        <w:tblLayout w:type="fixed"/>
        <w:tblInd w:w="1100" w:type="dxa"/>
        <w:tblCellMar>
          <w:top w:w="0" w:type="dxa"/>
          <w:left w:w="0" w:type="dxa"/>
          <w:bottom w:w="0" w:type="dxa"/>
          <w:right w:w="0" w:type="dxa"/>
        </w:tblCellMar>
      </w:tblPr>
      <w:tr>
        <w:trPr>
          <w:trHeight w:val="375"/>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32"/>
                <w:szCs w:val="32"/>
                <w:b w:val="1"/>
                <w:bCs w:val="1"/>
                <w:color w:val="auto"/>
              </w:rPr>
              <w:t>ASURE SOFTWARE, INC.</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40" w:type="dxa"/>
            <w:vAlign w:val="bottom"/>
            <w:gridSpan w:val="5"/>
          </w:tcPr>
          <w:p>
            <w:pPr>
              <w:jc w:val="center"/>
              <w:ind w:left="33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392"/>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20" w:type="dxa"/>
            <w:vAlign w:val="bottom"/>
            <w:gridSpan w:val="7"/>
          </w:tcPr>
          <w:p>
            <w:pPr>
              <w:jc w:val="center"/>
              <w:ind w:right="50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8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74-2415696</w:t>
            </w: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8"/>
        </w:trPr>
        <w:tc>
          <w:tcPr>
            <w:tcW w:w="6820" w:type="dxa"/>
            <w:vAlign w:val="bottom"/>
            <w:gridSpan w:val="9"/>
          </w:tcPr>
          <w:p>
            <w:pPr>
              <w:jc w:val="center"/>
              <w:ind w:right="388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8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820" w:type="dxa"/>
            <w:vAlign w:val="bottom"/>
            <w:gridSpan w:val="9"/>
          </w:tcPr>
          <w:p>
            <w:pPr>
              <w:jc w:val="center"/>
              <w:ind w:right="39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8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6820" w:type="dxa"/>
            <w:vAlign w:val="bottom"/>
            <w:gridSpan w:val="9"/>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9"/>
              </w:rPr>
              <w:t>110 Wild Basin Road, Suite 100</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8"/>
        </w:trPr>
        <w:tc>
          <w:tcPr>
            <w:tcW w:w="940" w:type="dxa"/>
            <w:vAlign w:val="bottom"/>
          </w:tcPr>
          <w:p>
            <w:pPr>
              <w:spacing w:after="0"/>
              <w:rPr>
                <w:sz w:val="17"/>
                <w:szCs w:val="17"/>
                <w:color w:val="auto"/>
              </w:rPr>
            </w:pPr>
          </w:p>
        </w:tc>
        <w:tc>
          <w:tcPr>
            <w:tcW w:w="5880" w:type="dxa"/>
            <w:vAlign w:val="bottom"/>
            <w:gridSpan w:val="8"/>
          </w:tcPr>
          <w:p>
            <w:pPr>
              <w:jc w:val="center"/>
              <w:ind w:right="4840"/>
              <w:spacing w:after="0" w:line="198" w:lineRule="exact"/>
              <w:rPr>
                <w:sz w:val="20"/>
                <w:szCs w:val="20"/>
                <w:color w:val="auto"/>
              </w:rPr>
            </w:pPr>
            <w:r>
              <w:rPr>
                <w:rFonts w:ascii="Times New Roman" w:cs="Times New Roman" w:eastAsia="Times New Roman" w:hAnsi="Times New Roman"/>
                <w:sz w:val="18"/>
                <w:szCs w:val="18"/>
                <w:b w:val="1"/>
                <w:bCs w:val="1"/>
                <w:color w:val="auto"/>
                <w:w w:val="98"/>
              </w:rPr>
              <w:t>Austin, Texas</w:t>
            </w:r>
          </w:p>
        </w:tc>
        <w:tc>
          <w:tcPr>
            <w:tcW w:w="1360" w:type="dxa"/>
            <w:vAlign w:val="bottom"/>
            <w:gridSpan w:val="4"/>
          </w:tcPr>
          <w:p>
            <w:pPr>
              <w:jc w:val="right"/>
              <w:ind w:right="220"/>
              <w:spacing w:after="0" w:line="198" w:lineRule="exact"/>
              <w:rPr>
                <w:sz w:val="20"/>
                <w:szCs w:val="20"/>
                <w:color w:val="auto"/>
              </w:rPr>
            </w:pPr>
            <w:r>
              <w:rPr>
                <w:rFonts w:ascii="Times New Roman" w:cs="Times New Roman" w:eastAsia="Times New Roman" w:hAnsi="Times New Roman"/>
                <w:sz w:val="18"/>
                <w:szCs w:val="18"/>
                <w:b w:val="1"/>
                <w:bCs w:val="1"/>
                <w:color w:val="auto"/>
              </w:rPr>
              <w:t>78746</w:t>
            </w:r>
          </w:p>
        </w:tc>
        <w:tc>
          <w:tcPr>
            <w:tcW w:w="2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37"/>
        </w:trPr>
        <w:tc>
          <w:tcPr>
            <w:tcW w:w="6820" w:type="dxa"/>
            <w:vAlign w:val="bottom"/>
            <w:gridSpan w:val="9"/>
          </w:tcPr>
          <w:p>
            <w:pPr>
              <w:jc w:val="center"/>
              <w:ind w:right="38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0" w:type="dxa"/>
            <w:vAlign w:val="bottom"/>
          </w:tcPr>
          <w:p>
            <w:pPr>
              <w:spacing w:after="0"/>
              <w:rPr>
                <w:sz w:val="20"/>
                <w:szCs w:val="20"/>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rPr>
              <w:t>(Zip Code)</w:t>
            </w:r>
          </w:p>
        </w:tc>
      </w:tr>
      <w:tr>
        <w:trPr>
          <w:trHeight w:val="392"/>
        </w:trPr>
        <w:tc>
          <w:tcPr>
            <w:tcW w:w="4000" w:type="dxa"/>
            <w:vAlign w:val="bottom"/>
            <w:gridSpan w:val="6"/>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(512) 437-2700</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4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1"/>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00" w:type="dxa"/>
            <w:vAlign w:val="bottom"/>
            <w:gridSpan w:val="1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34"/>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2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color w:val="auto"/>
                <w:w w:val="97"/>
              </w:rPr>
              <w:t>None</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1"/>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00" w:type="dxa"/>
            <w:vAlign w:val="bottom"/>
            <w:gridSpan w:val="1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w:t>
            </w:r>
          </w:p>
        </w:tc>
      </w:tr>
      <w:tr>
        <w:trPr>
          <w:trHeight w:val="234"/>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1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98" w:lineRule="exact"/>
        <w:rPr>
          <w:sz w:val="24"/>
          <w:szCs w:val="24"/>
          <w:color w:val="auto"/>
        </w:rPr>
      </w:pPr>
    </w:p>
    <w:p>
      <w:pPr>
        <w:sectPr>
          <w:pgSz w:w="11900" w:h="16838" w:orient="portrait"/>
          <w:cols w:equalWidth="0" w:num="1">
            <w:col w:w="11420"/>
          </w:cols>
          <w:pgMar w:left="240" w:top="291" w:right="239" w:bottom="9" w:gutter="0" w:footer="0" w:header="0"/>
        </w:sect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 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No x</w:t>
      </w:r>
    </w:p>
    <w:p>
      <w:pPr>
        <w:spacing w:after="0" w:line="200" w:lineRule="exact"/>
        <w:rPr>
          <w:sz w:val="24"/>
          <w:szCs w:val="24"/>
          <w:color w:val="auto"/>
        </w:rPr>
      </w:pPr>
    </w:p>
    <w:p>
      <w:pPr>
        <w:sectPr>
          <w:pgSz w:w="11900" w:h="16838" w:orient="portrait"/>
          <w:cols w:equalWidth="0" w:num="2">
            <w:col w:w="8940" w:space="260"/>
            <w:col w:w="2220"/>
          </w:cols>
          <w:pgMar w:left="240" w:top="291" w:right="239" w:bottom="9" w:gutter="0" w:footer="0" w:header="0"/>
          <w:type w:val="continuous"/>
        </w:sectPr>
      </w:pP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15(d) of the Act. Yes o</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x</w:t>
      </w:r>
    </w:p>
    <w:p>
      <w:pPr>
        <w:spacing w:after="0" w:line="200" w:lineRule="exact"/>
        <w:rPr>
          <w:sz w:val="24"/>
          <w:szCs w:val="24"/>
          <w:color w:val="auto"/>
        </w:rPr>
      </w:pPr>
    </w:p>
    <w:p>
      <w:pPr>
        <w:sectPr>
          <w:pgSz w:w="11900" w:h="16838" w:orient="portrait"/>
          <w:cols w:equalWidth="0" w:num="2">
            <w:col w:w="8520" w:space="260"/>
            <w:col w:w="2640"/>
          </w:cols>
          <w:pgMar w:left="240" w:top="291" w:right="239" w:bottom="9" w:gutter="0" w:footer="0" w:header="0"/>
          <w:type w:val="continuous"/>
        </w:sectPr>
      </w:pPr>
    </w:p>
    <w:p>
      <w:pPr>
        <w:spacing w:after="0" w:line="5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filings pursuant to Item 405 of Regulation S-K (§ 229.405 of this chapter) is not contained herein, and will not be contained, to the best of the registrant’s knowledge, in definitive proxy or information statements incorporated by reference in Part III of this Form 10-K or any amendment to this Form 10-K. x</w:t>
      </w:r>
    </w:p>
    <w:p>
      <w:pPr>
        <w:spacing w:after="0" w:line="20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as defined in Rule 12b-2 of the Exchange Act.</w:t>
      </w:r>
    </w:p>
    <w:p>
      <w:pPr>
        <w:spacing w:after="0" w:line="162" w:lineRule="exact"/>
        <w:rPr>
          <w:sz w:val="24"/>
          <w:szCs w:val="24"/>
          <w:color w:val="auto"/>
        </w:rPr>
      </w:pPr>
    </w:p>
    <w:p>
      <w:pPr>
        <w:ind w:left="1220"/>
        <w:spacing w:after="0"/>
        <w:tabs>
          <w:tab w:leader="none" w:pos="3660" w:val="left"/>
          <w:tab w:leader="none" w:pos="5720" w:val="left"/>
          <w:tab w:leader="none" w:pos="8100" w:val="left"/>
        </w:tabs>
        <w:rPr>
          <w:sz w:val="20"/>
          <w:szCs w:val="20"/>
          <w:color w:val="auto"/>
        </w:rPr>
      </w:pPr>
      <w:r>
        <w:rPr>
          <w:rFonts w:ascii="Times New Roman" w:cs="Times New Roman" w:eastAsia="Times New Roman" w:hAnsi="Times New Roman"/>
          <w:sz w:val="18"/>
          <w:szCs w:val="18"/>
          <w:color w:val="auto"/>
        </w:rPr>
        <w:t>Large accelerated filer o</w:t>
      </w:r>
      <w:r>
        <w:rPr>
          <w:sz w:val="20"/>
          <w:szCs w:val="20"/>
          <w:color w:val="auto"/>
        </w:rPr>
        <w:tab/>
      </w:r>
      <w:r>
        <w:rPr>
          <w:rFonts w:ascii="Times New Roman" w:cs="Times New Roman" w:eastAsia="Times New Roman" w:hAnsi="Times New Roman"/>
          <w:sz w:val="18"/>
          <w:szCs w:val="18"/>
          <w:color w:val="auto"/>
        </w:rPr>
        <w:t>Accelerated filer o</w:t>
      </w:r>
      <w:r>
        <w:rPr>
          <w:sz w:val="20"/>
          <w:szCs w:val="20"/>
          <w:color w:val="auto"/>
        </w:rPr>
        <w:tab/>
      </w:r>
      <w:r>
        <w:rPr>
          <w:rFonts w:ascii="Times New Roman" w:cs="Times New Roman" w:eastAsia="Times New Roman" w:hAnsi="Times New Roman"/>
          <w:sz w:val="18"/>
          <w:szCs w:val="18"/>
          <w:color w:val="auto"/>
        </w:rPr>
        <w:t>Non-accelerated filer o</w:t>
      </w:r>
      <w:r>
        <w:rPr>
          <w:sz w:val="20"/>
          <w:szCs w:val="20"/>
          <w:color w:val="auto"/>
        </w:rPr>
        <w:tab/>
      </w:r>
      <w:r>
        <w:rPr>
          <w:rFonts w:ascii="Times New Roman" w:cs="Times New Roman" w:eastAsia="Times New Roman" w:hAnsi="Times New Roman"/>
          <w:sz w:val="17"/>
          <w:szCs w:val="17"/>
          <w:color w:val="auto"/>
        </w:rPr>
        <w:t>Smaller reporting company x</w:t>
      </w:r>
    </w:p>
    <w:p>
      <w:pPr>
        <w:spacing w:after="0" w:line="225" w:lineRule="exact"/>
        <w:rPr>
          <w:sz w:val="24"/>
          <w:szCs w:val="24"/>
          <w:color w:val="auto"/>
        </w:rPr>
      </w:pPr>
    </w:p>
    <w:p>
      <w:pPr>
        <w:spacing w:after="0"/>
        <w:tabs>
          <w:tab w:leader="none" w:pos="88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w:t>
        <w:tab/>
        <w:t>No x</w:t>
      </w:r>
    </w:p>
    <w:p>
      <w:pPr>
        <w:spacing w:after="0" w:line="22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6,289,196 shares of the registrant’s Common Stock held by non-affiliates on June 30, 2015, the last business day of the registrant’s most recently completed second quarter, was approximately $38,175,420. For purposes of this computation all officers, directors and 5% beneficial owners of the registrant are deemed to be affiliates. Such determination should not be deemed an admission that such officers, directors and beneficial owners are, in fact, affiliates of the registrant.</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March 28, 2016, there were 6,291,596 shares of the registrant’s Common Stock, $.01 par value, issued and outstanding.</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DOCUMENTS INCORPORATED BY REFERENCE</w:t>
      </w:r>
    </w:p>
    <w:p>
      <w:pPr>
        <w:sectPr>
          <w:pgSz w:w="11900" w:h="16838" w:orient="portrait"/>
          <w:cols w:equalWidth="0" w:num="1">
            <w:col w:w="11420"/>
          </w:cols>
          <w:pgMar w:left="240" w:top="291" w:right="239" w:bottom="9" w:gutter="0" w:footer="0" w:header="0"/>
          <w:type w:val="continuous"/>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2015 Annual Meeting of Shareholders are incorporated by reference into Part III of this Annual Report on Form 10-K where indicated. Such Proxy Statement, or an amendment to this report containing the Items comprising Part III,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120" w:type="dxa"/>
            <w:vAlign w:val="bottom"/>
            <w:gridSpan w:val="22"/>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1300" w:type="dxa"/>
            <w:vAlign w:val="bottom"/>
          </w:tcPr>
          <w:p>
            <w:pPr>
              <w:spacing w:after="0"/>
              <w:rPr>
                <w:sz w:val="13"/>
                <w:szCs w:val="13"/>
                <w:color w:val="auto"/>
              </w:rPr>
            </w:pPr>
          </w:p>
        </w:tc>
      </w:tr>
      <w:tr>
        <w:trPr>
          <w:trHeight w:val="426"/>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00" w:type="dxa"/>
            <w:vAlign w:val="bottom"/>
          </w:tcPr>
          <w:p>
            <w:pPr>
              <w:spacing w:after="0"/>
              <w:rPr>
                <w:sz w:val="24"/>
                <w:szCs w:val="24"/>
                <w:color w:val="auto"/>
              </w:rPr>
            </w:pPr>
          </w:p>
        </w:tc>
      </w:tr>
      <w:tr>
        <w:trPr>
          <w:trHeight w:val="45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8560" w:type="dxa"/>
            <w:vAlign w:val="bottom"/>
            <w:gridSpan w:val="18"/>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Risk Factors</w:t>
              </w:r>
            </w:hyperlink>
          </w:p>
        </w:tc>
        <w:tc>
          <w:tcPr>
            <w:tcW w:w="8300" w:type="dxa"/>
            <w:vAlign w:val="bottom"/>
            <w:gridSpan w:val="16"/>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10">
              <w:r>
                <w:rPr>
                  <w:rFonts w:ascii="Times New Roman" w:cs="Times New Roman" w:eastAsia="Times New Roman" w:hAnsi="Times New Roman"/>
                  <w:sz w:val="18"/>
                  <w:szCs w:val="18"/>
                  <w:color w:val="0000EE"/>
                  <w:w w:val="98"/>
                </w:rPr>
                <w:t>Unresolved Staff Comments</w:t>
              </w:r>
            </w:hyperlink>
          </w:p>
        </w:tc>
        <w:tc>
          <w:tcPr>
            <w:tcW w:w="7160" w:type="dxa"/>
            <w:vAlign w:val="bottom"/>
            <w:gridSpan w:val="11"/>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20"/>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Properties</w:t>
              </w:r>
            </w:hyperlink>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20"/>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Legal Proceedings</w:t>
              </w:r>
            </w:hyperlink>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453"/>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200" w:type="dxa"/>
            <w:vAlign w:val="bottom"/>
            <w:gridSpan w:val="20"/>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Selected Financial Data</w:t>
              </w:r>
            </w:hyperlink>
          </w:p>
        </w:tc>
        <w:tc>
          <w:tcPr>
            <w:tcW w:w="114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740" w:type="dxa"/>
            <w:vAlign w:val="bottom"/>
            <w:gridSpan w:val="4"/>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00" w:type="dxa"/>
            <w:vAlign w:val="bottom"/>
            <w:gridSpan w:val="20"/>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Quantitative and Qualitative Disclosures about Market Risk</w:t>
              </w:r>
            </w:hyperlink>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Financial Statements and Supplementary Data</w:t>
              </w:r>
            </w:hyperlink>
          </w:p>
        </w:tc>
        <w:tc>
          <w:tcPr>
            <w:tcW w:w="4900" w:type="dxa"/>
            <w:vAlign w:val="bottom"/>
            <w:gridSpan w:val="6"/>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00" w:type="dxa"/>
            <w:vAlign w:val="bottom"/>
            <w:gridSpan w:val="20"/>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Changes in and Disagreements with Accountants on Accounting and Financial Disclosures</w:t>
              </w:r>
            </w:hyperlink>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5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Controls and Procedures</w:t>
              </w:r>
            </w:hyperlink>
          </w:p>
        </w:tc>
        <w:tc>
          <w:tcPr>
            <w:tcW w:w="2660" w:type="dxa"/>
            <w:vAlign w:val="bottom"/>
            <w:gridSpan w:val="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453"/>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9200" w:type="dxa"/>
            <w:vAlign w:val="bottom"/>
            <w:gridSpan w:val="20"/>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Directors, Executive Officers and Corporate Governance</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120" w:type="dxa"/>
            <w:vAlign w:val="bottom"/>
            <w:gridSpan w:val="7"/>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200" w:type="dxa"/>
            <w:vAlign w:val="bottom"/>
            <w:gridSpan w:val="20"/>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Certain Relationships and Related Transactions, and Director Independence</w:t>
              </w:r>
            </w:hyperlink>
          </w:p>
        </w:tc>
        <w:tc>
          <w:tcPr>
            <w:tcW w:w="1920" w:type="dxa"/>
            <w:vAlign w:val="bottom"/>
            <w:gridSpan w:val="2"/>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Principal Accountant Fees and Services</w:t>
              </w:r>
            </w:hyperlink>
          </w:p>
        </w:tc>
        <w:tc>
          <w:tcPr>
            <w:tcW w:w="3760" w:type="dxa"/>
            <w:vAlign w:val="bottom"/>
            <w:gridSpan w:val="5"/>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453"/>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9200" w:type="dxa"/>
            <w:vAlign w:val="bottom"/>
            <w:gridSpan w:val="20"/>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Exhibits and Financial Statement Schedules</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2"/>
        </w:trPr>
        <w:tc>
          <w:tcPr>
            <w:tcW w:w="920" w:type="dxa"/>
            <w:vAlign w:val="bottom"/>
            <w:gridSpan w:val="2"/>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Signatures</w:t>
              </w:r>
            </w:hyperlink>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720"/>
        </w:trPr>
        <w:tc>
          <w:tcPr>
            <w:tcW w:w="760" w:type="dxa"/>
            <w:vAlign w:val="bottom"/>
            <w:tcBorders>
              <w:top w:val="single" w:sz="8" w:color="0000EE"/>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Asure Software, Inc., a Delaware corporation, is a global provider of cloud-based software-as-a-service (“SaaS”) solutions that help companies bring people, time, space and assets together.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Asure serves approximately 6,000 clients in 80 countries, ranging from global Fortune 500 clients to small and mid-sized businesses. Some of our clients include Aetna, Apple Inc., Baker &amp; McKenzie, Deutsche Bank, KPMG UK, La Trobe University, Merck and Co., Inc., Mondelez, Pfizer, Inc., Pearson, PSSI, Salesforce.com, Inc., State Street and Thomson Reuters. Our mission guides the work we do each day; it is “To deliver innovative technology with the passion to empower every client’s workplace and the commitment to make their workdays easier.”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offer a full suite of solutions to help clients optimize and manage their mobile workforces and their global workspaces. SaaS-based offerings include: asset management, mobile room scheduling, mobile time tracking, scheduling software, space utilization solutions, tablet-based time clocks, time and labor management software, traditional time clocks, touch panels for room scheduling, and workplace business intelligence (“BI”) analytics. All products are implemented using our proven client deployment model and supported with professional services and client support teams as needed.</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More than ever, companies are trying to get a handle on how to track, understand and optimize their real estate and time and labor costs in a world that is becoming increasingly mobile and global. With tele-commuting, hoteling (i.e., sharing of cubical space), and alternative working on the rise, executives have an opportunity to reinvent their workspaces to better meet the needs of their workforces and save millions in real estate costs. Similarly, mobile time tracking with geospatial and facial recognition technologies allows executives to better understand where and when their employees are working, and provides great insights into optimizing labor schedules and labor costs. Mobile time and tablet-based time tracking solutions also help combat “buddy punching”- when a dishonest worker covers for an absent co-worker by punching the company time clock for the absent worker- which can cost companies millions of dollars per year.</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were incorporated in 1985 and our principal executive offices are located at 110 Wild Basin Road, Suite 100, Austin, Texas 78746. Our telephone number is (512) 437-2700 and our website is www.asuresoftware.com. Information on our website is not part of this Annual Report on Form 10-K.</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Asure makes available free of charge, on or through its website, our annual report on Form 10-K, our quarterly reports on Form 10-Q and our current reports on Form 8-K, and amendments to those reports filed or furnished pursuant to Section 13(a) or 15(d) of the Exchange Act, as soon as reasonably practicable after we electronically file these materials or furnish them to the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 Wells Fargo</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March 2014, we entered into a credit agreement with Wells Fargo Bank, National Association (“N.A.”), as administrative agent, and the lenders that are party thereto (“Credit Agreement”). The Credit Agreement originally provided for a term loan in the amount of $15.0 million. The term loan will mature in March 2019. We amended the Credit Agreement in August 2014 to revise the leverage ratio beginning with the quarter ending September 30, 2014 to a leverage ratio of not greater than 3.6 to 1.0 with the levels stepping down thereafter. We further amended the Credit Agreement in March 2015 to authorize us to optionally prepay, subject to specified conditions, the Subordinated Note Payable to Roomtag and to revise the leverage ratio beginning with the quarter ended March 31, 2015 to a leverage ratio of not greater than 3.5 to 1.0 with the levels stepping down thereafter. We also amended the Credit Agreement in November 2015. The November 2015 amendment increased the applicable margin relative to the LIBOR rate upon which we compute the interest payable. We agreed that if our leverage ratio is (a) less than or equal to 2.25:1, (b) greater than 2.25:1 but less than or equal to 2.75:1, (c) greater than 2.75:1 but less than or equal to 3.25:1 or (d) greater than 3.25:1, the applicable margin relative to the LIBOR rate would be 3.00, 3.50, 4.00 or 4.50 percentage points, respectively. We further agreed that until the leverage ratio testing period ending September 30, 2016, we will pay interest based on the 4.50 percentage point margin level.</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amended the Credit Agreement again in March 2016 coincident with the acquisition of Mangrove Employer Services, Inc. of Tampa, Florida (“Mangrove”). Under this amendment, we expanded our overall credit facility by $12.5 million to $29.2 million. This includes a $26.2 million term facility which is due March 21, 2019 and a $3.0 million revolving credit facility. This amendment also changed the applicable margin rates for determining the interest rate payable on the loan as follows:</w:t>
      </w:r>
    </w:p>
    <w:p>
      <w:pPr>
        <w:spacing w:after="0" w:line="203"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Base Rate</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LIBOR Rate</w:t>
            </w:r>
          </w:p>
        </w:tc>
      </w:tr>
      <w:tr>
        <w:trPr>
          <w:trHeight w:val="245"/>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Leverage Ratio</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34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220" w:type="dxa"/>
            <w:vAlign w:val="bottom"/>
          </w:tcPr>
          <w:p>
            <w:pPr>
              <w:spacing w:after="0"/>
              <w:rPr>
                <w:sz w:val="21"/>
                <w:szCs w:val="21"/>
                <w:color w:val="auto"/>
              </w:rPr>
            </w:pPr>
          </w:p>
        </w:tc>
      </w:tr>
      <w:tr>
        <w:trPr>
          <w:trHeight w:val="216"/>
        </w:trPr>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2.75:1</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&gt; 2.75:1 but ≤ 3.25:1</w:t>
            </w:r>
          </w:p>
        </w:tc>
        <w:tc>
          <w:tcPr>
            <w:tcW w:w="1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3.25:1</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4.50%</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w:t>
            </w: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agreed to repay the outstanding principal amount of the term loan as follows:</w:t>
      </w:r>
    </w:p>
    <w:p>
      <w:pPr>
        <w:spacing w:after="0" w:line="27" w:lineRule="exact"/>
        <w:rPr>
          <w:sz w:val="20"/>
          <w:szCs w:val="20"/>
          <w:color w:val="auto"/>
        </w:rPr>
      </w:pPr>
    </w:p>
    <w:p>
      <w:pPr>
        <w:ind w:left="140" w:hanging="132"/>
        <w:spacing w:after="0"/>
        <w:tabs>
          <w:tab w:leader="none" w:pos="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$491,016 on June 30, 2016 and the last day of each fiscal quarter thereafter up to March 31, 2017; and</w:t>
      </w:r>
    </w:p>
    <w:p>
      <w:pPr>
        <w:spacing w:after="0" w:line="9"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$654,688 on June 30, 2017 and the last day of each fiscal quarter thereafter.</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March 2016 amendment also changed our leverage ratio requirements under the Credit Agreement. We have now agreed to a leverage ratio not to exceed 5.00:1 at March 31, 2016, stepping down to 2.25:1 at December 31, 2018.</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2015, we were in compliance with all covenants, with the exception of the leverage ratio and fixed charge coverage ratio, and all payments remain current. A covenant waiver related to the leverage ratio and fixed charge coverage ratio was received from the lender as of December 31, 2015. As a result of the waiver, we were in compliance with all covenant requirements as of December 31, 2015. We expect to be in compliance or be able to obtain compliance through debt repayments with the available cash on hand or as we expect to be generated from the ordinary course of operations over the next twelve months.</w:t>
      </w:r>
    </w:p>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6 - Note Payable in the accompanying financial statements for more information about the Credit Agreement and Guaranty and Security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Acquisitions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Through the stock and asset purchases described below, we have entered into the human resource management, payroll processing and benefits administration services businesses, which we intend to integrate into our existing AsureForce® product line.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Purchase Agreement</w:t>
      </w:r>
    </w:p>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March 2016, we acquired all of the issued and outstanding shares of common stock (the “Shares”) of Mangrove Employer Services, Inc. of Tampa, Florida (“Mangrove”). Pursuant to this stock purchase, we acquired the payroll division of Mangrove, which is engaged in the human resource management and payroll processing businesses. The aggregate consideration for the Shares consisted of (i) $11.3 million in cash, a portion of which was used to pay certain obligations of Mangrove and (ii) a secured subordinated promissory note (the “Note”) in the principal amount of $6.0 million, subject to adjustment as provided in the Stock Purchase Agreement. We funded the cash payment with proceeds from our credit agreement with Wells Fargo. The Note bears interest at an annual rate of 3.50% and matures in March, 2018, with the first installment of principal due in March, 2017 and the second installment of principal due in March, 2018. The Stock Purchase Agreement contains certain customary representations, warranties, indemnities and covenants.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Purchase Agreement</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2016, we also acquired substantially all the assets of Mangrove COBRAsource Inc., a benefits administration services business which then was a wholly owned subsidiary of Mangrove. The aggregate consideration for the assets was $1.0 million, which Mangrove COBRAsource applied to payoff certain loan balances. The Asset Purchase Agreement contains certain customary representations, warranties, indemnities and covenants.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14- Subsequent Events in the accompanying financial statements for more information about the Stock Purchase Agreement and Asset Purchase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Acquisitions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2014, we acquired all of the issued and outstanding shares of common stock (the “Shares”) of FotoPunch, Inc., a Delaware corporation (“FotoPunch”), a cloud-based time and labor solution provider whose photo-based time clock technology transforms any mobile device into a biometric, geo-located time clock. We have been working with FotoPunch since 2012 as a technology partner for our GeoPunch™ solution, which was launched to help customers support a workforce that is increasingly mobile, global and dispersed.</w:t>
      </w:r>
    </w:p>
    <w:p>
      <w:pPr>
        <w:sectPr>
          <w:pgSz w:w="11900" w:h="16838" w:orient="portrait"/>
          <w:cols w:equalWidth="0" w:num="1">
            <w:col w:w="11420"/>
          </w:cols>
          <w:pgMar w:left="240" w:top="118" w:right="2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consideration for the Shares consisted of (i) $1.5 million in cash, a portion of which was used to pay certain obligations of FotoPunch and (ii) up to an additional $3.0 million in post-closing earnout payments. We funded the $1.5 million cash payment with proceeds from our Credit Agreement with Wells Fargo.</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$3.0 million earnout is payable over three earnout periods (with the first, second and third periods ending June 30, 2015, June 30, 2016 and June 30, 2018, respectively) based on the FotoPunch operations achieving specified target revenues in each earnout period. At least 75% of the target revenues must be achieved in the first and second earnout periods and at least 50% of the target revenues must be achieved in the third earnout period. The FotoPunch operations did not achieve the requisite target revenue level for the 2015 time period and, accordingly, we paid no earnout amount relating thereto.</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2014, we acquired substantially all the assets of Roomtag, LLC (“Roomtag”). The aggregate consideration for the assets consisted of (i) $933,000 in cash and (ii) an unsecured subordinated promissory note (“Note”) for $754,000. We funded the $933,000 cash payment with proceeds from our Credit Agreement with Wells Fargo. The Note bears interest at an annual rate of 0.36% and is payable on October 31, 2016. In August 2015, we paid $722,000 in full payment of this Note, after applying a 5% discount. See Note 6 - Note Payable in the accompanying financial statements for more information about the Note.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PRODUCTS AND SERVICES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Asure’s SaaS-based solutions are uniquely designed to help companies bring people, time, space and assets together to more effectively manage their global, mobile workforces. As companies recruit, hire and work to retain mobile employees, executives use Asure’s solutions to understand how their workspaces are used, track how and when people work, and foster productivity by making it easy for employees to find the workspace they need. We currently offer two main product lines, AsureSpace™ and AsureForce®. AsureSpace™ provides workplace management solutions that enable organizations to manage their office environments and optimize real estate utilization, and AsureForce® time and labor management solutions help organizations optimize labor and labor administration costs and activities.</w:t>
      </w:r>
    </w:p>
    <w:p>
      <w:pPr>
        <w:spacing w:after="0" w:line="2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AsureSpace™ workspace management solutions, clients realize significant costs savings and Return on Investment (“ROI”) gains by better using their real estate with a full portfolio of industry-leading, global, SaaS-based solutions. Our SmartView® product offers unique insights into how space is being used, which allows companies to make proactive, strategic decisions about real estate investments. SmartTag® asset management helps companies assign physical assets to people and spaces so they can track and recover all assets, including cell phones, laptops, desks, chairs, and virtually any item assigned to an employee. AsureSpace™ resource scheduling and meeting room management solutions help employees easily find and reserve space for their specific needs. Our new product, NowSpace®, allows users to find and reserve desk spaces, conference rooms, catering, audiovisual, and more directly from their smart phones. AsureSpace™ touch panels and kiosks are placed outside busy areas for on-the-fly desk and space reservation needs; viewers can find, reserve and use available space as needed. And lastly, workplace business intelligence (“Workplace BI”) tools offer invaluable reporting for executives to understand space utilization and continue to make improvements in their real estate investments.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Cost savings and additional ROI gains come in the form of a more strategic use of labor dollars and the elimination of time theft with AsureForce® workforce management solutions. GeoPunch® mobile time tracking, the AirClock™ tablet-based time tracking, and Asure’s workforce management platform offer clients several advantages. First, mobile time tracking with geospatial and facial recognition technologies help executives better understand where and when their employees are working and provide great insights into optimizing labor schedules and labor costs. Mobile time and tablet-based time tracking solutions make it much more efficient for employees to punch in and out from wherever they are working, whether it is a client site, a work site, or a home-based work arrangement. GeoPunch® and AirClock™ also help combat buddy punching, which can cost companies millions of dollars per year. Finally, employees, supervisors and executives have real-time access to data and business intelligence to help eliminate buddy punching, optimize job costing and labor scheduling, and ultimately control and optimize labor costs.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both product lines, support and professional services are other key elements of our software and services business. As an extension of our legacy perpetual software product offerings, Asure offers our customers maintenance and support contracts that provide ready access to qualified support staff, software patches and upgrades to our software products. We also provide installation of and training on our products, add-on software customization and other professional services on a global scale.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DEVELOPMENT</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strive to quickly bring to market innovative, cloud-based solutions that work when, where and how workforces are operating today. Asure’s strategy is to deliver the right technology to its customer base in order to realize efficiencies in the workplace. First-to-market mobile applications are a testament to our success in innovation. Additionally, Asure is committed to co-innovation, working in partnership with industry leaders, partners and clients around the globe to develop technology solutions that meet the needs of a rapidly shifting workplace.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industry is characterized by continuing improvements in technology, resulting in the frequent introduction of new products, short product life cycles, changes in customer needs and continual improvement in product performance characteristics. Asure strives to be cost-effective and timely in enhancing our software applications, developing new innovative software solutions that address the increasingly sophisticated and varied needs of an evolving range of customers, and anticipating technological advances and evolving industry standards and practices.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Asure development teams – located in Traverse City, Michigan; Dedham, Massachusetts; Salt Lake City, Utah and Austin, Texas – are staffed with software developers, quality assurance engineers and support specialists who work closely with our customers and sales and marketing teams to build products and services based on market requirements and customer feedback. We develop our new product and service roadmaps based on inputs from customers, competitive comparisons and relevant technology innovations.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research and development strategy is rooted in innovation and flexibility. The development team enhances the functionality of our software and hardware products through new releases and new feature developments, with a particular focus on cloud-based SaaS solutions and products for the mobile workforce. Asure will also continue to evaluate opportunities for developing new software so that organizations may further streamline and automate the tasks associated with administering their businesses. We seek to simultaneously allow organizations to improve their productivity while reducing the costs associated with those business tasks.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actively search for potential product, service or business acquisitions that we believe will complement our existing and planned product and service offerings, such as our 2016 Mangrove human capital management, payroll processing and employee benefits administration acquisitions. We cannot assure that we will make future acquisitions or that we can successfully integrate acquired assets or businesses profitably into Asure.</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Despite our efforts, we also cannot assure that we will complete our existing and future development efforts or that our new and enhanced software products will adequately meet the requirements of the marketplace and achieve market acceptance. Additionally, Asure may experience difficulties that could delay or prevent the successful development or introduction of new or enhanced software products. In the case of acquiring new or complementary software products or technologies, we may not be able to integrate the acquisitions into our current product lines. Furthermore, despite extensive testing, errors may be found in new software products or releases after shipment, resulting in a diversion of development resources, increased service costs, loss of revenue and/or delay in market acceptance.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SALES AND DISTRIBUTION</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Asure sells its software products and services through both a direct and channel (partner) model, which enables us to sell our software solutions in an efficient, cost-effective manner. Prospective customers learn about Asure through a variety of ways, including advertising, web site searches, sales calls, public relations, direct marketing and social media. When prospective customers show an interest in Asure, we connect them with a sales representative via our web site, phone or a face-to-face meeting to discuss their needs and the solutions they are interested in and make the sale. We track our marketing and sales activities to provide immediate preview into activities, leads and pipeline opportunities. Asure account management teams also work with existing customers to promote and sell additional solutions that are relevant for each customer. In addition to this direct sales model, we supplement these efforts with our partner programs described below. By working with our partners, we expand the reach of our direct sales force and gain access to key opportunities in major market segments worldwide. Asure has two distinct levels of partners in our Partner Program: Reseller Partners and Referral Partners.</w:t>
      </w:r>
    </w:p>
    <w:p>
      <w:pPr>
        <w:spacing w:after="0" w:line="18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Reseller Partners</w:t>
      </w:r>
      <w:r>
        <w:rPr>
          <w:rFonts w:ascii="Times New Roman" w:cs="Times New Roman" w:eastAsia="Times New Roman" w:hAnsi="Times New Roman"/>
          <w:sz w:val="18"/>
          <w:szCs w:val="18"/>
          <w:color w:val="auto"/>
        </w:rPr>
        <w:t>. Reseller Partners are companies that represent us globally, as well as before the Federal government, and often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complementary products to either the workspace management product line or the workforce product line. Reseller Partners commit to a minimum level of business per year with us and receive a channel discount for that commitment. Our Reseller Partners outside the United States include Novera in Australia which represents the workspace product line. We also have several Reseller Partners that represent our software in the Federal government space. Resellers of our workforce product line in the United States include Oasis Outsourcing, a large provider of human resource outsourcing solutions.</w:t>
      </w:r>
    </w:p>
    <w:p>
      <w:pPr>
        <w:spacing w:after="0" w:line="1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Referral Partners</w:t>
      </w:r>
      <w:r>
        <w:rPr>
          <w:rFonts w:ascii="Times New Roman" w:cs="Times New Roman" w:eastAsia="Times New Roman" w:hAnsi="Times New Roman"/>
          <w:sz w:val="18"/>
          <w:szCs w:val="18"/>
          <w:color w:val="auto"/>
        </w:rPr>
        <w:t>. Referral Partners provide us with the name and particular information about a prospective customer and its needs as a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 If we accept the sales lead, we register it for the Referral Partner. If we make a sale as a direct result of such a lead, we will pay the Referral Partner a sales lead referral fee. Currently, we have a number of Referral Partners, including PolyVision Corp., Steelcase and e-Innovative Solutions for the workspace management product line and several smaller firms for our workforce product line.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we have a unique position in the market place, in that Asure is the only technology company in the world that offers SaaS-based workspace and workforce management solutions from a single partner. Additionally, we believe Asure has been first-to-market with mobile apps in the workspace management industry and we are the only known company to have both geospatial and facial recognition technology working together for mobile time tracking.</w:t>
      </w:r>
    </w:p>
    <w:p>
      <w:pPr>
        <w:spacing w:after="0" w:line="207" w:lineRule="exact"/>
        <w:rPr>
          <w:sz w:val="20"/>
          <w:szCs w:val="20"/>
          <w:color w:val="auto"/>
        </w:rPr>
      </w:pPr>
    </w:p>
    <w:p>
      <w:pPr>
        <w:jc w:val="both"/>
        <w:ind w:firstLine="741"/>
        <w:spacing w:after="0" w:line="256" w:lineRule="auto"/>
        <w:rPr>
          <w:sz w:val="20"/>
          <w:szCs w:val="20"/>
          <w:color w:val="auto"/>
        </w:rPr>
      </w:pPr>
      <w:r>
        <w:rPr>
          <w:rFonts w:ascii="Times New Roman" w:cs="Times New Roman" w:eastAsia="Times New Roman" w:hAnsi="Times New Roman"/>
          <w:sz w:val="18"/>
          <w:szCs w:val="18"/>
          <w:color w:val="auto"/>
        </w:rPr>
        <w:t>Specific to the AsureSpace™ line of workspace management software solutions, we have a competitive advantage in the breadth of our comprehensive platform of workspace scheduling and utilization analytics as well as our resources available for product development, client services, and customer support. The primary competitors to AsureSpace™ include Dean Evans &amp; Associates, Inc., Emergingsoft Corporation, AgilQuest Corporation and Condeco Ltd. (UK). In addition to the features and available services, we believe the principal advantages of AsureSpace™ with respect to its competitors include its cloud-based services model, extensive product integration options and partner channel, scalable deployments, configurable interfaces, mobile access and price.</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AsureForce® line of workforce management software solutions has a competitive advantage in the marketplace in serving organizations seeking specific point-solutions as well as organizations desiring an integrated suite of solutions, particularly in the area of mobile time collection. We believe GeoPunch® and AirClock™ products are first-to-market technology solutions with significant market demand. By competing tactically with point-solutions and strategically with an integrated suite of solutions, Asure can serve the needs of a broad spectrum of companies. Primary competitors to AsureForce® include Kronos, Replicon, and Time Simplicity.</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While Asure has the advantage of a flexible, easy to use, cloud-based, SaaS-delivered software model, affordability and proven deployment methodology, we face several categories of competitive challenges:</w:t>
      </w:r>
    </w:p>
    <w:p>
      <w:pPr>
        <w:spacing w:after="0" w:line="160" w:lineRule="exact"/>
        <w:rPr>
          <w:sz w:val="20"/>
          <w:szCs w:val="20"/>
          <w:color w:val="auto"/>
        </w:rPr>
      </w:pPr>
    </w:p>
    <w:p>
      <w:pPr>
        <w:jc w:val="both"/>
        <w:ind w:left="660" w:right="6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Vendors with face-to-face sales contact. </w:t>
      </w:r>
      <w:r>
        <w:rPr>
          <w:rFonts w:ascii="Times New Roman" w:cs="Times New Roman" w:eastAsia="Times New Roman" w:hAnsi="Times New Roman"/>
          <w:sz w:val="18"/>
          <w:szCs w:val="18"/>
          <w:color w:val="auto"/>
        </w:rPr>
        <w:t>In this highly relationship-based sales process, vendors with large, dispersed field-based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teams who meet and consult with prospects have an advantage. Key U.S. vendors who approach the market in this manner include ADP, Kronos, PeopleSoft, Condeco and Steelcase. Asure has recently launched a field-based approach to sales and also focuses on high-touch marketing campaigns and leveraging relationships with channel partners to build relationships with prospects.</w:t>
      </w:r>
    </w:p>
    <w:p>
      <w:pPr>
        <w:spacing w:after="0" w:line="207" w:lineRule="exact"/>
        <w:rPr>
          <w:sz w:val="20"/>
          <w:szCs w:val="20"/>
          <w:color w:val="auto"/>
        </w:rPr>
      </w:pPr>
    </w:p>
    <w:p>
      <w:pPr>
        <w:jc w:val="both"/>
        <w:ind w:left="660" w:right="6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National payroll processors with loss-leader products. </w:t>
      </w:r>
      <w:r>
        <w:rPr>
          <w:rFonts w:ascii="Times New Roman" w:cs="Times New Roman" w:eastAsia="Times New Roman" w:hAnsi="Times New Roman"/>
          <w:sz w:val="18"/>
          <w:szCs w:val="18"/>
          <w:color w:val="auto"/>
        </w:rPr>
        <w:t>Large brand and market share payroll processing vendors (such as ADP, Inc.)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 point solutions at little or no cost to prospects when in a competitive engagement because these loss leader products become inconsequential next to their core business offerings.</w:t>
      </w:r>
    </w:p>
    <w:p>
      <w:pPr>
        <w:spacing w:after="0" w:line="201" w:lineRule="exact"/>
        <w:rPr>
          <w:sz w:val="20"/>
          <w:szCs w:val="20"/>
          <w:color w:val="auto"/>
        </w:rPr>
      </w:pPr>
    </w:p>
    <w:p>
      <w:pPr>
        <w:jc w:val="both"/>
        <w:ind w:left="660" w:right="6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Single application vendors. </w:t>
      </w:r>
      <w:r>
        <w:rPr>
          <w:rFonts w:ascii="Times New Roman" w:cs="Times New Roman" w:eastAsia="Times New Roman" w:hAnsi="Times New Roman"/>
          <w:sz w:val="18"/>
          <w:szCs w:val="18"/>
          <w:color w:val="auto"/>
        </w:rPr>
        <w:t>Vendors that offer similar point-solutions, such as room scheduling, office hoteling management, time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attendance, employee/manager self-service and paystub management, can be perceived as better meeting an immediate and specific need.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Because the market for our products and services is subject to rapid technological change and there are relatively low barriers to entry in the workplace management software market, we routinely encounter new entrants or competition from vendors in some or all aspects of our two product lines. Competition from these potential market entrants may take many forms. Some of our competitors, both current and future, may have greater financial, technical and marketing resources than us and therefore may be able to respond more quickly to new or emerging technologies and changes in customer requirements. As a result, they may compete more effectively on price and other terms. Additionally, those competitors may devote greater resources in developing products or in promoting and selling their products to achieve greater market acceptance. Asure is actively taking measures designed to address our competitive challenges. However, we cannot assure that we will be able to achieve or maintain a competitive advantage with respect to any of the competitive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Asure’s marketing strategy has relied on the development and implementation of a comprehensive integrated plan rooted in our business objectives. The marketing plan includes four primary objectives: 1) build brand awareness, 2) develop lead generation programs that drive revenue, 3) launch products in a meaningful way and 4) develop an infrastructure that supports and measures marketing activities. We deploy multi-faceted, multi-series direct marketing programs to drive awareness, interest and revenue. Marketing vehicles include our web site, organic and paid search, advertising, public relations, direct marketing, events, social media, content marketing and eMarketing. Our marketing plan addresses growth and retention goals for all target audiences, from small and medium-sized businesses to Fortune 500 companies and divisions of enterprise organizations throughout the United States, Europe and Asia/Pacific.</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TRADEMARKS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registered Asure Software® as a federal trademark with the U.S. Patent and Trademark Office. Our other federal trademarks include AsureForce®, Face Time Clock®, Legiant Timecard® and ADI Time®, and we have pending applications for federal registration of the marks AsureSpace™, SmartView™ and GeoPunch™. We also use the common law trademarks iEmployee™, Netsimplicty™, AsureSpace™, ADI™, Workplace BI™ and Legiant Express™.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EMPLOYEES</w:t>
            </w:r>
          </w:p>
        </w:tc>
        <w:tc>
          <w:tcPr>
            <w:tcW w:w="71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82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As of December 31, 2015, we had a total of 132 employees in the following departments:</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100" w:type="dxa"/>
            <w:vAlign w:val="bottom"/>
          </w:tcPr>
          <w:p>
            <w:pPr>
              <w:spacing w:after="0"/>
              <w:rPr>
                <w:sz w:val="21"/>
                <w:szCs w:val="21"/>
                <w:color w:val="auto"/>
              </w:rPr>
            </w:pPr>
          </w:p>
        </w:tc>
        <w:tc>
          <w:tcPr>
            <w:tcW w:w="15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100" w:type="dxa"/>
            <w:vAlign w:val="bottom"/>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service and technical support</w:t>
            </w:r>
          </w:p>
        </w:tc>
        <w:tc>
          <w:tcPr>
            <w:tcW w:w="1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Finance, human resources and administration</w:t>
            </w:r>
          </w:p>
        </w:tc>
        <w:tc>
          <w:tcPr>
            <w:tcW w:w="1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continually evaluate and adjust the size and composition of our workforce. We also periodically retain contractors to support our sales and marketing, information technology and administrative functions. None of our employees are represented by a collective bargaining agreement. Asure has not experienced any work stoppages and we consider our relations with our employees to be good. Additionally, we augment our workforce capacity in research and development and customer service and technical support by contracting for services through third parties.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future performance depends largely on our ability to continually and effectively attract, train, retain, motivate and manage highly qualified and experienced technical, sales, marketing and managerial personnel. Asure’s future development and growth depend on the efforts of key management personnel and technical employees. Asure uses incentives, including competitive compensation and stock options, to attract and retain well-qualified employees. However, we cannot assure that we will continue to attract and retain personnel with the requisite capabilities and experience. The loss of one or more of Asure’s key management or technical personnel could have a material and adverse effect on our business and operating results.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regarding directors and corporate governance matters is incorporated herein by reference from the section entitled “Election of Directors” of the Company’s definitive Proxy Statement (the “Proxy Statement”) to be filed pursuant to Regulation 14A of the Securities Exchange Act of 1934, as amended, for the registrants’ Annual Meeting of Stockholders to be held on June 6, 2016. The Proxy Statement is anticipated to be filed within 120 days after the end of the registrant’s fiscal year ended December 31, 2015.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Company’s current executive officers as of March 30, 2016:</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Goepel</w:t>
            </w:r>
          </w:p>
        </w:tc>
        <w:tc>
          <w:tcPr>
            <w:tcW w:w="1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Steven Rodriguez</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 Wolfe</w:t>
            </w:r>
          </w:p>
        </w:tc>
        <w:tc>
          <w:tcPr>
            <w:tcW w:w="1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Patrick Goepel </w:t>
      </w:r>
      <w:r>
        <w:rPr>
          <w:rFonts w:ascii="Times New Roman" w:cs="Times New Roman" w:eastAsia="Times New Roman" w:hAnsi="Times New Roman"/>
          <w:sz w:val="18"/>
          <w:szCs w:val="18"/>
          <w:color w:val="auto"/>
        </w:rPr>
        <w:t>was elected to the Company’s Board of Directors at its August 28, 2009 Annual Meeting of Shareholders. He was subsequently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as Interim Chief Executive Officer on September 15, 2009 and became Chief Executive Officer of the Company as of January 1, 2010. Prior to his appointment, he served as Chief Operating Officer of Patersons Global Payroll. Previously, he was the President and Chief Executive Officer of Fidelity Investment’s Human Resource Services Division from 2006 to 2008; President and Chief Executive Officer of Advantec from 2005 to 2006; and Executive Vice President of Business Development and US Operations at Ceridian from 1994 to 2005. A former board member of iEmployee, Mr. Goepel currently serves on the board of directors of APPD Investments and SafeGuard World International.</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Steven Rodriguez </w:t>
      </w:r>
      <w:r>
        <w:rPr>
          <w:rFonts w:ascii="Times New Roman" w:cs="Times New Roman" w:eastAsia="Times New Roman" w:hAnsi="Times New Roman"/>
          <w:sz w:val="18"/>
          <w:szCs w:val="18"/>
          <w:color w:val="auto"/>
        </w:rPr>
        <w:t>joined the Company as Chief Operating Officer in June 2011. From February through May 2011, the Company retained him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 to evaluate and make recommendations related to the Company's sales and marketing strategies and processes. Prior to that, he served as the Principal for HCS, a consulting company he founded. His past roles also include Executive Vice President and Officer at Perquest, a national workforce management company, from 2008 to 2009; Senior Vice President of Sales &amp; Sales Operations at Ceridian Corporation, a human resource services company, from 2001 to 2007; Regional Director for Epicor Software from 2000 to 2001; and Vice President of Sales at Automatic Data Processing (ADP), Inc., a provider of payroll and benefits administration solutions, from 1990 to 2000. Mr. Rodriguez holds a Bachelor of Business Administration from the University of Oklahoma.</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Brad Wolfe </w:t>
      </w:r>
      <w:r>
        <w:rPr>
          <w:rFonts w:ascii="Times New Roman" w:cs="Times New Roman" w:eastAsia="Times New Roman" w:hAnsi="Times New Roman"/>
          <w:sz w:val="18"/>
          <w:szCs w:val="18"/>
          <w:color w:val="auto"/>
        </w:rPr>
        <w:t>joined the Company as Chief Financial Officer in October 2014. Prior to joining the Company, Mr. Wolfe spent most of the last 14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DCI Group and their related entities and investments, a private equity and investment organization, where he served in consulting, office and executive finance and operational roles for the firm’s subsidiary and portfolio companies to promote their growth and profitability. Before that, he was Chief Financial Officer and Executive Vice President at AON Corporation, a Fortune 200 company. His background also includes mergers and acquisitions in both public accounting and law firm settings, and his experience spans international markets and a wide range of industries, including technology, software and real estate. Wolfe holds an MBA degree from Northwestern University’s Kellogg School of Business in Finance and Information systems, a J.D. degree from the Kent Law School executive program, and a B.B.A. degree in accounting and information systems from Southern Methodist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in Austin, Texas where we occupy approximately 12,000 square feet of office space under one operating lease that expires in June 2016. We lease approximately 6,000 square feet in Dedham, Massachusetts. We also lease office suites in Michigan, Utah and the United Kingdom and, as a result of our March 2016 acquisitions, facilities in Tampa, Florida, Henderson, Nevada and Vernon Hills, Illinois.</w:t>
      </w: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that the leased properties described above are adequate to meet Asure’s current operational requirements and can accommodate further physical expansion of office space as needed.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2014, we reached an agreement to settle all claims and dismiss all pending litigation with PeopleCube Holding B.V. and Meeting Maker Holding B.V., the sellers of the capital stock of Meeting Maker – United States, Inc. (dba PeopleCube) that we purchased in July 2012.</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settlement agreement, the parties agreed to dismiss the litigation and we settled the remaining balance due by us of $2.5 million on the Subordinated Notes Payable: PeopleCube Acquisition Note for $1.7 million. Separately, our insurance carrier agreed to pay us $500,000 in conjunction with the settlement. With the insurance proceeds and after offsetting any related litigation and other settlement costs incurred in 2014 of $226,000, we recorded a net gain of $1.0 million on the settlement in the first quarter of 2014. We paid this note in full in the first quarter of 2014. Finally, as part of the original purchase price in the Meeting Maker acquisition, we issued 255,000 shares of our common stock subject to a lockup that expired as to 125,000 shares in June 2013 and 130,000 shares in June 2014. This settlement also removed the lockup for the remaining 130,000 shares.</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Asure has been, and in the future may be, the defendant or plaintiff in various actions arising in the normal course of business, as of December 31 2015, we were not party to any pending legal proceedings.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 INFORMATION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Capital Market System under the symbol “ASUR.” The following table shows the high and low sale prices of our common stock for each full quarter as reported by NASDAQ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LOW</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LOW</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1st Quarter</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2nd Quarter</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6.34</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3rd Quarter</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4th Quarter</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5.60</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did not pay cash dividends on our common stock during fiscal years 2015 and 2014. We presently intend to continue a policy of retaining earnings for reinvestment in our business, rather than paying cash dividends.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HOLDERS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28, 2016, we had approximately 351 stockholders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AUTHORIZED FOR ISSUANCE UNDER EQUITY COMPENSATION PLANS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2015 with respect to shares of our common stock that we may issue under our existing equity compensation plans (share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B</w:t>
            </w:r>
          </w:p>
        </w:tc>
        <w:tc>
          <w:tcPr>
            <w:tcW w:w="100" w:type="dxa"/>
            <w:vAlign w:val="bottom"/>
          </w:tcPr>
          <w:p>
            <w:pPr>
              <w:spacing w:after="0"/>
              <w:rPr>
                <w:sz w:val="21"/>
                <w:szCs w:val="21"/>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Number of Securities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Available for Future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Under 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to be Issued Upon</w:t>
            </w:r>
          </w:p>
        </w:tc>
        <w:tc>
          <w:tcPr>
            <w:tcW w:w="10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00" w:type="dxa"/>
            <w:vAlign w:val="bottom"/>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Plans (Excluding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00" w:type="dxa"/>
            <w:vAlign w:val="bottom"/>
          </w:tcPr>
          <w:p>
            <w:pPr>
              <w:spacing w:after="0"/>
              <w:rPr>
                <w:sz w:val="18"/>
                <w:szCs w:val="18"/>
                <w:color w:val="auto"/>
              </w:rPr>
            </w:pPr>
          </w:p>
        </w:tc>
        <w:tc>
          <w:tcPr>
            <w:tcW w:w="15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100" w:type="dxa"/>
            <w:vAlign w:val="bottom"/>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Reflected in Column</w:t>
            </w:r>
          </w:p>
        </w:tc>
        <w:tc>
          <w:tcPr>
            <w:tcW w:w="0" w:type="dxa"/>
            <w:vAlign w:val="bottom"/>
          </w:tcPr>
          <w:p>
            <w:pPr>
              <w:spacing w:after="0"/>
              <w:rPr>
                <w:sz w:val="1"/>
                <w:szCs w:val="1"/>
                <w:color w:val="auto"/>
              </w:rPr>
            </w:pPr>
          </w:p>
        </w:tc>
      </w:tr>
      <w:tr>
        <w:trPr>
          <w:trHeight w:val="238"/>
        </w:trPr>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4"/>
              </w:rPr>
              <w:t>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 Approved by Stockholders (1)</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4.40</w:t>
            </w: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 (2)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4.40</w:t>
            </w: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2009 Equity Plan.</w:t>
      </w:r>
    </w:p>
    <w:p>
      <w:pPr>
        <w:spacing w:after="0" w:line="2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have previously approved our existing equity compensation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STATEMENTS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Asure has attempted to identify these forward-looking statements with the words “believes,” “estimates,” “plans,” “expects,” “anticipates,” “may,” “could” and other similar expressions. Although these forward-looking statements reflect management’s current plans and expectations, which we believe reasonable as of the filing date of this Report, they inherently are subject to certain risks and uncertainties. Additionally, Asure is under no obligation to update any of the forward-looking statements after the date of this Form 10-K to conform such statements to actual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fiscal periods indicated, the percentage of total revenues represented by certain items in Asure’s Consolidated Statements of Comprehensive Loss:</w:t>
      </w:r>
    </w:p>
    <w:p>
      <w:pPr>
        <w:spacing w:after="0" w:line="158"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53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21"/>
                <w:szCs w:val="2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72.7</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76.8</w:t>
            </w: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55.6</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73.9</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loss, net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Asure is a leading global provider of cloud-based SaaS solutions that help companies bring people, time, space and assets together. Our software is delivered primarily as software-as-a-service, or SaaS, and for certain legacy products, on premise. We currently offer a full suite of solutions to help clients optimize and manage their mobile workforces and their global workspaces. SaaS-based offerings include: asset management, mobile room scheduling, mobile time tracking, scheduling software, space utilization solutions, tablet-based time clocks, time and labor management software, traditional time clocks, touch panels for room scheduling, and workplace business intelligence analytics. All products are implemented using our proven client deployment model and supported with professional services and client support teams as needed.</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product offerings consist of AsureSpace™ workplace management solutions that enable organizations to manage their office environments and optimize real estate utilization, and AsureForce® time and labor management solutions which help organizations optimize labor and labor administration costs and activities. We target our sales and marketing efforts to a wide range of audiences, from small and medium-sized businesses to Fortune 500 companies and divisions of enterprise organizations throughout the United States, Europe and Asia/Pacific. We generate sales of our solutions through our direct sales teams and indirectly through our channel partners. We are expanding our investment in our direct sales teams to continue to address our market opportunity.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Asure plans to continue to target small and medium sized businesses and divisions of enterprises. In addition to continuing to develop our workforce management solutions and release new software updates and enhancements, we are continuing to actively explore other opportunities to acquire additional products or technologies to complement our current software and services. As the overall workforce management solutions market continues to experience significant growth related to SaaS products, Asure intends to continue to focus on sales of our Meeting Room Manager, PeopleCube, and ADI SaaS-based products.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2014, we entered into a Credit Agreement and Guaranty and Security Agreement with Wells Fargo Bank, National Association. See “Recent Developments” above and Note 6- Note Payable in the accompanying financial statements for more information. We used the proceeds of the $15.0 million term loan under the Credit Agreement to finance the repayment of all amounts outstanding under our loan agreement with Deerpath Funding, LP (“Deerpath”) and the payment of certain fees, cost and expenses related to the Credit Agreement.</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amended the Credit Agreement in March 2015 to authorize us to optionally prepay, subject to specified conditions, the Subordinated Note Payable to Roomtag and to revise the leverage ratio beginning with the quarter ended March 31, 2015 to a leverage ratio of not greater than 3.5 to 1.0 with the levels stepping down thereafter. We also amended the Credit Agreement in November 2015. The November 2015 amendment increased the applicable margin relative to the LIBOR rate upon which we compute the interest payable. We then agreed that until the leverage ratio testing period ending September 30, 2016, we will pay interest based on the 4.50 percentage point margin level. See “Recent Developments” above and Note 6- Note Payable in the accompanying financial statements for more information.</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amended the Credit Agreement again in March 2016 coincident with the acquisition of Mangrove Employer Services, Inc. of Tampa, Florida (“Mangrove”). Under this amendment, we expanded our overall credit facility by $12.5 million to $29.2 million. This includes a $26.2 million term facility which is due March 21, 2019 and a $3.0 million revolving credit facility. The latest amendment also changes the applicable margin rates for determining the interest rate payable on the loan. The amendment also amended our leverage ratio requirements under the Credit Agreement. We have now agreed to a leverage ratio not to exceed 5.00:1 at March 31, 2016, stepping down to 2.25:1 at December 31, 2018. See “Recent Developments” above and Note 14-Subsequent Events in the accompanying financial statements for more information.</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2014, we acquired all of the issued and outstanding shares of common stock (the “Shares”) of FotoPunch, Inc., a Delaware corporation (“FotoPunch”), a cloud-based time and labor solution provider whose photo-based time clock technology transforms any mobile device into a biometric, geo-located time clock. We had been working with FotoPunch since 2012 as a technology partner for our GeoPunch™ solution, which was launched to help customers support a workforce that is increasingly mobile, global and dispersed.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consideration for the Shares consisted of (i) $1.5 million in cash, a portion of which was used to pay certain obligations of FotoPunch and (ii) up to an additional $3.0 million in post-closing earnout payments. We funded the $1.5 million cash payment with proceeds from our credit agreement with Wells Fargo.</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$3.0 million earnout is payable over three earnout periods (with the first, second and third periods ending June 30, 2015, June 30, 2016 and June 30, 2018, respectively) based on the FotoPunch operations achieving specified target revenues in each earnout period. At least 75% of the target revenues must be achieved in the first and second earnout periods and at least 50% of the target revenues must be achieved in the third earnout period. The FotoPunch operations did not achieve the requisite target revenue level for the 2015 time period and, accordingly, we paid no earnout amount relating thereto.</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2014, we acquired substantially all the assets of Roomtag, LLC (“Roomtag”). The aggregate consideration for the assets consisted of (i) $933,000 in cash and (ii) an unsecured subordinated promissory note (“Note”) for $754,000. We funded the $933,000 cash payment with proceeds from our credit agreement with Wells Fargo. The Note bears interest at an annual rate of 0.36% and is payable on October 31, 2016. In August 2015, we paid $722,000 in full payment of this Note, after applying a 5% discount. See Note 6 – Note Payable in the accompanying financial statements for more information about the Note.</w:t>
      </w:r>
    </w:p>
    <w:p>
      <w:pPr>
        <w:spacing w:after="0" w:line="211" w:lineRule="exact"/>
        <w:rPr>
          <w:sz w:val="20"/>
          <w:szCs w:val="20"/>
          <w:color w:val="auto"/>
        </w:rPr>
      </w:pPr>
    </w:p>
    <w:p>
      <w:pPr>
        <w:jc w:val="both"/>
        <w:ind w:firstLine="707"/>
        <w:spacing w:after="0" w:line="255" w:lineRule="auto"/>
        <w:rPr>
          <w:sz w:val="20"/>
          <w:szCs w:val="20"/>
          <w:color w:val="auto"/>
        </w:rPr>
      </w:pPr>
      <w:r>
        <w:rPr>
          <w:rFonts w:ascii="Times New Roman" w:cs="Times New Roman" w:eastAsia="Times New Roman" w:hAnsi="Times New Roman"/>
          <w:sz w:val="18"/>
          <w:szCs w:val="18"/>
          <w:color w:val="auto"/>
        </w:rPr>
        <w:t>In March 2016, we acquired all of the issued and outstanding shares of common stock (the “Shares”) of Mangrove Employer Services, Inc. of Tampa, Florida (“Mangrove”). Pursuant to this stock purchase, we acquired the payroll division of Mangrove, which is engaged in the human resource management and payroll processing businesses. The aggregate consideration for the Shares consisted of (i) $11.3 million in cash, a portion of which was used to pay certain obligations of Mangrove and (ii) a secured subordinated promissory note (the “Note”) in the principal amount of $6.0 million, subject to adjustment as provided in the Stock Purchase Agreement. We funded the cash payment with proceeds from our credit agreement with Wells Fargo. The Note bears interest at an annual rate of 3.50% and matures in March, 2018, with the first installment of principal due in March, 2017 and the second installment of principal due in March, 2018. The Stock Purchase Agreement contains certain customary representations, warranties, indemnities and covenants.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2016, we also acquired substantially all the assets of Mangrove COBRAsource Inc., then a wholly owned subsidiary of Mangrove, a benefits administration services business which then was a wholly owned subsidiary of Mangrove. The aggregate consideration for the assets was $1.0 million, which Mangrove COBRAsource applied to payoff certain loan balances. The Asset Purchase Agreement contains certain customary representations, warranties, indemnities and covenants.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14- Subsequent Events in the accompanying financial statements for more information about the Stock Purchase Agreement and Asset Purchase Agreement.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continued guidance and direction of our directors and Chief Executive Officer, Asure will continue to implement its corporate strategy for growing its software and services business. However, uncertainties and challenges remain and there can be no assurances that Asure can successfully integrate acquired business operations, grow its revenues or achieve profitability and positive cash flows during calendar year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revenue was derived from the following sources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 revenue</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13,716</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2,623</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677</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and support revenue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6,489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(435)</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On premise software license revenue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999</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 revenue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26,906</w:t>
            </w:r>
          </w:p>
        </w:tc>
        <w:tc>
          <w:tcPr>
            <w:tcW w:w="240" w:type="dxa"/>
            <w:vAlign w:val="bottom"/>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27,206</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product offerings are categorized into AsureSpace™ and AsureForce®. AsureSpace™ offers workplace management solutions that enable organizations to manage their office environments and optimize real estate utilization, and AsureForce® offers time and labor management solutions which help organizations optimize labor and labor administration costs and activities. Both product groupings include cloud revenue, hardware revenue, maintenance and support revenue, on premise software license revenue and professional services revenue. AsureSpace™ revenues include PeopleCube, Meeting Room Manager and Roomtag revenues. AsureForce® revenues include ADI, Legiant, iEmployee and FotoPunch revenues.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total revenue in 2015 was $26.9 million, as compared to $27.2 million in 2014. Total revenue represents our consolidated revenue, including sales of our scheduling software, time and attendance and human resource software, complementary hardware devices to enhance our software products, software maintenance and support services, installation and training services and other professional services.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Total revenue slightly decreased by $300,000, or 1.0%, in 2015 as compared to 2014. Cloud revenue remained consistent with 2014 and hardware revenue increased $677,000, or 25.8%, offset by decreases in maintenance and support revenue, on premise software license revenue and professional services revenue. AsureSpace™ revenue decreased $62,000, or 0.40%, in 2015 and AsureForce® revenue decreased $238,000, or 2.1%, as compared to 2014. The decrease in AsureSpace™ revenue consists of a $439,000 increase in cloud revenue and a $614,000 increase in hardware revenue, offset by a decrease of $300,000 in maintenance and support revenue, a $459,000 decrease in on premise software, and a $356,000 decrease in professional services revenue. The decrease in AsureForce® revenue consists of a $528,000 decrease in cloud revenue and a $135,000 decrease in maintenance and support revenue, offset by increases in hardware revenue of $64,000, a $45,000 increase in professional services revenue and a $316,000 increase of on premise software revenue.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Total cloud revenue decreased $88,000, or 1.0%, over 2014. AsureSpace™ cloud revenue increased $439,000, or 6.3%, over 2014, offset by a decrease in AsureForce® cloud revenue of $528,000, or 7.8%, as compared to 2014. In AsureSpace™, Meeting Room Manager cloud revenue increased $274,000, or 11.4%, and Smart Tag (Roomtag) cloud revenue increased $291,000, or 188%, as compared to 2014, offset by a smaller decrease in PeopleCube revenue. Roomtag, which was acquired in August 2014, contributed $155,000 to cloud revenue in 2014. In AsureForce®, ADI and Legiant cloud revenue increased $376,000, or 11.1%, offset by a decrease in iEmployee cloud revenue of $911,000, or 26.7% as compared to 2014. The latter was due to turning focus away from the iEmployee software product and focusing resources on the newer technology in the software subscription solutions. Overall, we attribute our cloud revenue increases to a combination of new sales offset by the accretive nature of recurring cloud revenue.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2015, hardware revenues increased $677,000, or 25.8%, over 2014. For AsureSpace™, PeopleCube’s hardware revenue increased $309,000, or 26.6%, from 2014 to $1.5 million and Meeting Room Manager hardware revenue increased $296,000, or 141%, to $506,000. AsureForce® hardware revenue increased $64,000, or 5.1%, over 2014. AsureForce®, ADI and Legiant, had $1.2 million of hardware revenue in both 2015 and 2014. GeoPunch (FotoPunch) hardware revenue increased $110,000, or 586.9%, over 2014, offset by a small decrease in iEmployee hardware revenue. FotoPunch, which was acquired in July 2014, contributed $128,000 to hardware revenue in 2015 as compared to $19,000 in 2014.</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2015, maintenance and support revenue decreased $435,000, or 6.7%, over 2014. Maintenance and support revenue was $6.1 million in 2015 as compared to $6.5 million in 2014. In AsureSpace™, Meeting Room Manager maintenance and support revenue decreased $215,000, or 10.2% from 2014 to $1.9 million, and PeopleCube maintenance and support revenue decreased $85,000, or 3.8%, from 2014 to $2.2 million. In AsureForce®, ADI and Legiant maintenance and support revenue decreased $114,000, or 5.5%, from 2014 to $1.9 million, in addition to a small decrease in iEmployee maintenance and support revenue.</w:t>
      </w:r>
    </w:p>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2015, on premise software license revenues decreased $143,000, or 14.3%, as compared to 2014. AsureForce® on premise software license revenues increased $316,000, or 93.2% from 2014. AsureSpace™ on premise software license revenues decreased $459,000, or 69.6% from 2014. While AsureForce® (ADI and Legiant) saw increases in on premise software license revenue, AsureSpace™ (PeopleCube and Meeting Room Manger) on premise software license revenues decreased $307,000, or 72.9%, and $152,000, or 63.6%, respectively, as compared to 2014. We continue to focus our efforts on recurring cloud revenue from our direct customers, as opposed to onetime on premise software license revenue.</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Professional services revenue decreased $311,000, or 9.2%, over 2014. AsureSpace™ professional services revenue decreased $356,000, or 13.0%, and AsureForce® professional services revenue increased $45,000, or 7.0%, over 2014. PeopleCube professional services revenue decreased $316,000 or 14.5%, over 2014, in addition to Meeting Room Manager professional services revenue decreasing by $68,000 or 12.4%, in 2015 as compared to 2014, offset by a smaller increase in Roomtag professional services revenue. GeoPunch (FotoPunch) professional services revenue increased $117,000, or 456%, AsureForce®, ADI and Legiant’s, professional services revenue increased $36,000, or 8.7%, as compared to 2014, offset by a decrease in iEmployee professional service revenue of $108,000, or 54.4% as compared to 2014.</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our total customer base is widely spread across industries, our sales are concentrated in certain industry sectors, including corporate, education, healthcare, government, legal and non-profit. We continue to target small and medium sized businesses and divisions of larger enterprises in these same industries as prospective customers. Geographically, we sell our products worldwide, but sales are largely concentrated in the United States, Canada and Europe. Additionally, we have a distribution partner in Australia. As the overall workforce management solutions market continues to experience significant growth related to SaaS products, we will continue to focus on sales of Meeting Room Manager On Demand, PeopleCube and ADI SaaS products.</w:t>
      </w:r>
    </w:p>
    <w:p>
      <w:pPr>
        <w:spacing w:after="0" w:line="21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continuing to develop our workforce and workspace management solutions and release new software updates and enhancements, we continue to actively explore other opportunities to acquire additional products or technologies to complement our current software and services. Through acquisitions in 2011 of ADI and Legiant, we expanded our cloud computing time and attendance software and management services business. The 2012 acquisition of PeopleCube gave us a product line that includes software to assist customers in driving integrated facility management of offices, conference rooms, video conferencing, events and training, alternative workspaces and lobby use. The 2014 acquisitions of FotoPunch and Roomtag support our vision to deliver innovative cloud-based workplace technologies. Our March 2016 acquisitions from Mangrove enable us to enter into the human resource management, payroll processing and benefits administration services businesses, which we intend to integrate into our existing AsureForce® product line.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Consolidated gross margin was $19.6 million in 2015 and $20.9 million in 2014, a decrease of $1.3 million, or 6.2%. Gross margin as a percentage of revenues was 72.7% for 2015 and 76.8% for 2014. We attribute the decrease in gross margin to a shift in the mix of our revenue between our higher margin and lower margin product lines.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Consolidated cost of sales increased $1.0 million, or 16.2%, from 2014. Our cost of sales relates primarily to direct product costs, compensation and related consulting expenses, hardware expenses and the amortization of our purchased software development costs. These expenses represented approximately 83% of the total cost of sales for 2015 and 82% for 2014. These expenses increased by approximately $918,000, or 17.7%, over 2014. This increase is comprised of increases in direct product costs of approximately $554,000, or 28.1%, salary expense of $111,000, or 4.5%, equipment expenses of $155,000, or 96.9%, and depreciation and amortization of $98,000, or 16.8%, over 2014. We include intangible amortization related to developed and acquired technology within cost of sales.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expenses were $15.0 million in 2015 and $14.0 million in 2015, an increase of $965, or 6.9%. SG&amp;A expenses as a percentage of revenues were 55.6% and 51.5% for 2015 and 2014, respectively.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$267,000, or 3.8%, and general and administrative expenses increased $698,000, or 10.0%, over 2014. The increase in sales and marketing expenses is due to increased sales and marketing efforts, including lead generation and other marketing expenses, as well as increased headcount in 2015. General and administrative expenses included increased headcount (comprised primarily of temporary contractors) to focus on various accounting and reporting projects throughout the year,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incur significant additional legal expenses and/or professional services-related expenses in the future if we pursue further acquisitions of products or businesses, even if we ultimately do not consummate any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were $3.1 million in 2015 and $3.3 million in 2014, a decrease of $257,000 or 7.8%. R&amp;D expenses as a percentage of revenues were 11.3% and 12.2% for 2015 and 2014, respectively.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$257,000 decrease is primarily due to higher expenses incurred in 2014 from placement fees, as well as severance expense recorded in the second quarter of 2014.</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in previous years, we have seen product improvement through both native product development and strategic third party relationships. We believe that investing key resources into core technologies such as SaaS, mobile, software improves our competency and depth of product features, while strategic third party solutions can effectively compliment or provide a test bed for niche or emerging markets.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our AsureSpace suite of applications, our primary goal in 2015 for Resource Scheduler (“RS”) was a redesign of the RS user interface (“UI”). We made a significant investment in developing a more modern look and user experience for our flagship product. Our first release of the new UI was RS v10.5 in Q4 of 2015 and featured a re-designed Outlook Add-in, as well as integrated floor plan views natively inside of Outlook. Other RS projects included early integration work with our move management product, SmartMove, and QR Code functionality in conjunction with our native mobile app, NowSpace. Both projects move the RS product forward in becoming a complete platform solution for the digital workplace.</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MRM had one major release in 2015, MRM v11, which featured compatibility with NowSpace and addressed a number of customer requests and enhancements. In support of our company goal of cloud migrations, we released general support for identity providers using standard SAML 2.0 protocol (a standard cloud method of user authentication and management) and developed an import utility that would facilitate class schedule imports for higher education clients interested in going to the Cloud.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seen some cross-over sales with our Move Management platform, SmartMove and Resource Scheduler. We feel the enhanced UI and product integration will allow us further cross-sell opportunities in 2016. Additionally, we continued to invest budget and resources in 2015 into its industry-leading mobile application, NowSpace, adding native Android application support in Q3, and enhanced QR code integration for room and agile workspace initiatives in Q4.</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AsureForce suite of products also received significant investment and growth. Our AsureForce v11 product, which includes optional integrated facial recognition technologies, moved to the forefront with hundreds of customers taking advantage of the sleek product UI, as well as the supervisor-fraud preventing features found in our integrated facial recognition Air Clock and GeoPunch mobile products. Our v11.6 summer release was the largest release in company history for AsureForce products, measuring both hours of effort and items included.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continue to develop and enhance our Time and Labor and HR products, ensuring continued payroll integration and support, as well as initiating development in Q4 for new modules to handle industry events such as the new Payroll Based Journal (“PBJ”) requirement in our v10 and v11 TLM products. The facial recognition products themselves had numerous maintenance and feature releases, including optimized performance, expanded native mobile features (GeoPunch) and hardware upgrades to the LCD and cellular equipment used in our Air Clocks. Or traditional TLM clocks also received multiple version upgrades, adding user defined keys and position filtering options.</w:t>
      </w:r>
    </w:p>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development efforts for future releases and enhancements are driven by feedback received from our existing and potential customers and by gauging market trends. We believe we have the appropriate development team to design and further improve our workforce management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 Assets</w:t>
      </w:r>
    </w:p>
    <w:p>
      <w:pPr>
        <w:spacing w:after="0" w:line="25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Amortization expenses in 2015 were $1.9 million, a decrease of $133,000, or 6.7%, as compared to $2.0 million in 2014. Amortization expenses as a percentage of revenues were 6.9% and 7.3% for 2015 and 2014, respectively. This decrease is due to some of our intangible assets becoming fully amortized.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Loss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Loss was $1.2 million for the year ended 2015 as compared to $1.7 million in the year ended 2014. Other Loss in 2015 and 2014 was primarily comprised of interest expense. Other loss in 2014 also contains a loss on debt refinancing of $1.4 million, offset by a gain on the settlement of the PeopleCube litigation of $1.0 million. Interest expense on notes payable was $1.1 million as compared to $1.3 million in 2014.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December 31, 2015, we had federal net operating loss carryforwards of approximately $117.8 million, Federal R&amp;D credit carryforwards of approximately $5.1 million and alternative minimum tax credit carryforwards of approximately $161,000. The net operating loss and Federal R&amp;D credit carryforwards will expire in varying amounts from 2018 through 2035, if not utilized. Minimum tax credit carryforwards carry forward indefinitely.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tax expense increased from $117,000 in 2014 to $219,000 in 2015, a $102,000, or 87.2%, increase. These figures represent an effective tax rate of 14.2% and 80.6% in 2015 and 2014, respectively. The 2015 income tax expense is primarily due to deferred taxes on the amortization of goodwill for tax purposes and the results of foreign operations.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our various acquisitions in prior years, utilization of the net operating losses and credit carryforwards may be subject to a substantial annual limitation due to the “change in ownership” provisions of the Internal Revenue Code of 1986. The annual limitation may result in the expiration of net operating losses before utilization.</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Due to the uncertainty surrounding the timing of realizing the benefits of our favorable tax attributes in future tax returns, we have placed a valuation allowance against our net deferred tax asset, exclusive of goodwill. During 2015, we increased the valuation allowance by approximately $207,000 due primarily to operations. Approximately $8.3 million of the valuation allowance relates to tax benefits for stock option deductions included in our net operating loss carryforward which we will allocate, if and when realized, directly to contributed capital to the extent the benefits exceed amounts attributable to book deferred compensation expense.</w:t>
      </w:r>
    </w:p>
    <w:p>
      <w:pPr>
        <w:spacing w:after="0" w:line="21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consider the undistributed earnings of our foreign subsidiaries permanently reinvested and, accordingly, we have not provided for U.S. federal or state income taxes thereon.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loss was $1.8 million in 2015. Net loss was $262,000 in 2014. The increase in net loss was $1.5 million, or 571%. Net loss as a percentage of total revenues was 6.5% and 1.0% in 2015 and 2014, respectively.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30"/>
        </w:trPr>
        <w:tc>
          <w:tcPr>
            <w:tcW w:w="144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80" w:type="dxa"/>
            <w:vAlign w:val="bottom"/>
            <w:gridSpan w:val="5"/>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At and for the year ended</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20" w:type="dxa"/>
            <w:vAlign w:val="bottom"/>
            <w:gridSpan w:val="4"/>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5"/>
        </w:trPr>
        <w:tc>
          <w:tcPr>
            <w:tcW w:w="14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23"/>
        </w:trPr>
        <w:tc>
          <w:tcPr>
            <w:tcW w:w="14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1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174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96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(7,314)</w:t>
            </w:r>
          </w:p>
        </w:tc>
      </w:tr>
      <w:tr>
        <w:trPr>
          <w:trHeight w:val="216"/>
        </w:trPr>
        <w:tc>
          <w:tcPr>
            <w:tcW w:w="14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144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2,706</w:t>
            </w:r>
          </w:p>
        </w:tc>
      </w:tr>
      <w:tr>
        <w:trPr>
          <w:trHeight w:val="216"/>
        </w:trPr>
        <w:tc>
          <w:tcPr>
            <w:tcW w:w="14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(4,200)</w:t>
            </w:r>
          </w:p>
        </w:tc>
      </w:tr>
      <w:tr>
        <w:trPr>
          <w:trHeight w:val="216"/>
        </w:trPr>
        <w:tc>
          <w:tcPr>
            <w:tcW w:w="144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(2,147)</w:t>
            </w: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Working Capital</w:t>
      </w:r>
      <w:r>
        <w:rPr>
          <w:rFonts w:ascii="Times New Roman" w:cs="Times New Roman" w:eastAsia="Times New Roman" w:hAnsi="Times New Roman"/>
          <w:sz w:val="18"/>
          <w:szCs w:val="18"/>
          <w:color w:val="auto"/>
        </w:rPr>
        <w:t>. We had a working capital deficit of $8.6 million at December 31, 2015, an increase in our deficit of $1.3 million from the $7.3 million deficit at December 31, 2014. The working capital deficit at December 31, 2015 includes $10.8 million of deferred revenue. Deferred revenue is an obligation to perform future services. We expect that deferred revenue will convert to future revenue as we perform our services, but this does not represent future payments. Deferred revenue can vary based on seasonality, expiration of initial multi-year contracts and deals that are billed after implementation rather than in advance of service delivery. We attribute the increase in our working capital deficit to a decrease in accounts receivable of $846,000 together with an increase in the current portion of notes payable of $281,000, an increase in the current portion of deferred revenue of $162,000, and an increase in accounts payable and accrued compensation and benefits of $1.5 million. This is offset by an increase in cash and cash equivalents of $838,000 and an increase in inventory of 614,000. Cash and cash equivalents increased in 2015 primarily due to higher accounts receivable collections at year end, positive net income (after adjustment for non-cash items) of $1.8 million as well as the growth in deferred revenue of $635,000, and an increase in accounts payable of $1.1 million, offset by an increase in inventory of $615,000.</w:t>
      </w:r>
    </w:p>
    <w:p>
      <w:pPr>
        <w:sectPr>
          <w:pgSz w:w="11900" w:h="16838" w:orient="portrait"/>
          <w:cols w:equalWidth="0" w:num="1">
            <w:col w:w="11420"/>
          </w:cols>
          <w:pgMar w:left="240" w:top="118" w:right="2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Operating Activities</w:t>
      </w:r>
      <w:r>
        <w:rPr>
          <w:rFonts w:ascii="Times New Roman" w:cs="Times New Roman" w:eastAsia="Times New Roman" w:hAnsi="Times New Roman"/>
          <w:sz w:val="18"/>
          <w:szCs w:val="18"/>
          <w:color w:val="auto"/>
        </w:rPr>
        <w:t>. Cash provided by operating activities was $3.4 million in 2015 and $2.7 million in 2014. The $3.4 million of cash provided by operating activities during 2015 was primarily driven by net income (after adjustment for non-cash items) of $1.8 million as well as the growth in deferred revenue of $635,000, and an increase in accounts payable of $1.1 million, offset by an increase in inventory of $615,000. The $2.7 million of cash provided by operating activities during 2014 was primarily driven by net income (after adjustment for non-cash items) of $3.3 million and the release of restricted cash of $400,000, offset by an increase in accounts receivable of $1.4 million.</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Investing Activities</w:t>
      </w:r>
      <w:r>
        <w:rPr>
          <w:rFonts w:ascii="Times New Roman" w:cs="Times New Roman" w:eastAsia="Times New Roman" w:hAnsi="Times New Roman"/>
          <w:sz w:val="18"/>
          <w:szCs w:val="18"/>
          <w:color w:val="auto"/>
        </w:rPr>
        <w:t>. Cash used in investing activities during 2015 was $1.4 million. The cash used in investing activities in 2015 was primarily comprised of purchases of $1.4 million of property and equipment. Cash used in investing activities during 2014 was $4.2 million. The cash used in investing activities in 2014 was primarily comprised of acquisitions of FotoPunch and Roomtag, net of cash acquired, of $3.4 million and purchases of $807,000 of property and equipment. Although we believe our current operations are not capital intensive, we anticipate approximately $675,000 of 2016 capital expenditures to upgrade our infrastructure and position it for future growth.</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Financing Activities</w:t>
      </w:r>
      <w:r>
        <w:rPr>
          <w:rFonts w:ascii="Times New Roman" w:cs="Times New Roman" w:eastAsia="Times New Roman" w:hAnsi="Times New Roman"/>
          <w:sz w:val="18"/>
          <w:szCs w:val="18"/>
          <w:color w:val="auto"/>
        </w:rPr>
        <w:t>. Cash used in financing activities during 2015 was $1.1 million. We borrowed $5.3 million, offset by note payable payments of $6.8 million, including payoff of the Roomtag acquisition note of $722,000 (see Note 6 – Notes Payable of the accompanying financial statements). Cash used in financing activities during 2014 was $2.1 million. We borrowed $18.2 million, offset by note payable payments, payments on amendment of senior notes payable and debt financing fees of $20.6 million (see Note 6 – Notes Payable of the accompanying financial statements). This was offset by insurance proceeds received for settlement of a notes payable dispute, net of expenses, of $372,000.</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Sources of Liquidity</w:t>
      </w:r>
      <w:r>
        <w:rPr>
          <w:rFonts w:ascii="Times New Roman" w:cs="Times New Roman" w:eastAsia="Times New Roman" w:hAnsi="Times New Roman"/>
          <w:sz w:val="18"/>
          <w:szCs w:val="18"/>
          <w:color w:val="auto"/>
        </w:rPr>
        <w:t>. As of December 31, 2015, Asure’s principal sources of liquidity consisted of approximately $1.2 million of cash and cash equivalents and future cash generated from operations. We believe that we have and/or will generate sufficient cash for our short- and long-term needs. Based on current internal projections, we believe that we have and/or will generate sufficient cash for our operational needs, including any required debt payments, for at least the next twelve months. We currently project that we can generate positive cash flows from our operating activities for at least the next twelve months.</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team is focused on growing our existing software operations and is also seeking additional strategic acquisitions for the near future. At present, we plan to fund any future acquisition with equity, existing cash and cash equivalents cash generated from future operations and/or cash or debt raised from outside sources.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Debt Matters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2014, we reached an agreement to settle all claims and dismiss all pending litigation with PeopleCube Holding B.V. and Meeting Maker Holding B.V., the sellers of the capital stock of Meeting Maker – United States, Inc. (dba PeopleCube) that we purchased in July 2012.</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settlement agreement, the parties dismissed the litigation and we settled the remaining balance due of $2.5 million on the Subordinated Notes Payable: PeopleCube Acquisition Note by paying $1.7 million. Our insurance carrier agreed to pay us $500,000 in conjunction with the settlement. With the insurance proceeds and after offsetting any related litigation costs incurred in 2014, we recorded a net gain of $1.0 million on the settlement in the first quarter of 2014. We paid this note in full in 2014.</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2014, we entered into a Credit Agreement with Wells Fargo Bank, N.A., as administrative agent, and the lenders that were party thereto. The Credit Agreement provided for a term loan in the amount of $15.0 million. The term loan will mature in March 2019. The outstanding principal amount of the term loan is payable follows:</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$187,500 on June 30, 2014 and the last day of each fiscal quarter thereafter up to March 31, 2016;</w:t>
      </w:r>
    </w:p>
    <w:p>
      <w:pPr>
        <w:spacing w:after="0" w:line="27" w:lineRule="exact"/>
        <w:rPr>
          <w:sz w:val="20"/>
          <w:szCs w:val="20"/>
          <w:color w:val="auto"/>
        </w:rPr>
      </w:pPr>
    </w:p>
    <w:p>
      <w:pPr>
        <w:ind w:left="1300" w:right="2740"/>
        <w:spacing w:after="0" w:line="261" w:lineRule="auto"/>
        <w:rPr>
          <w:sz w:val="20"/>
          <w:szCs w:val="20"/>
          <w:color w:val="auto"/>
        </w:rPr>
      </w:pPr>
      <w:r>
        <w:rPr>
          <w:rFonts w:ascii="Times New Roman" w:cs="Times New Roman" w:eastAsia="Times New Roman" w:hAnsi="Times New Roman"/>
          <w:sz w:val="18"/>
          <w:szCs w:val="18"/>
          <w:color w:val="auto"/>
        </w:rPr>
        <w:t>$281,250 on June 30, 2016 and the last day of each fiscal quarter thereafter up to March 31, 2017; and $375,000 on June 30, 2017 and the last day of each fiscal quarter thereafter.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2014, we used the proceeds of the term loan to finance the repayment of all amounts outstanding under our loan agreement with Deerpath and the payment of certain fees, costs and expenses related to the Credit Agreement. The Deerpath loan bore interest at a floating annual rate equal to LIBOR plus 8.0%, subject to a LIBOR floor of 9.5%, or a minimum of 11.5%. We incurred a one-time charge in the first quarter of 2014, of approximately $1.4 million in connection with the refinancing, of which approximately $700,000 was non-cash deferred financing costs.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also provided for a revolving loan commitment in the aggregate amount of up to $3.0 million. The outstanding principal amount of the revolving loan is due and payable in March 2019. Additionally, the Credit Agreement provided for a $10.0 million uncommitted incremental term loan facility to support permitted acquisitions.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 loan and revolving loan bears interest, at our option, at (i) the greater of 1% or LIBOR, plus an applicable margin or (ii) a base rate (as defined in the Credit Agreement) plus an applicable margin. We elected to use the LIBOR rate plus the applicable margin, which is 5% for the first nine months ended December 31, 2014. Interest is payable monthly and the margin varies based upon our leverage ratio. See table below of applicable margin rates.</w:t>
      </w:r>
    </w:p>
    <w:p>
      <w:pPr>
        <w:spacing w:after="0" w:line="176"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Base Rate</w:t>
            </w: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LIBOR Rate</w:t>
            </w:r>
          </w:p>
        </w:tc>
      </w:tr>
      <w:tr>
        <w:trPr>
          <w:trHeight w:val="245"/>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Leverage Ratio</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34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220" w:type="dxa"/>
            <w:vAlign w:val="bottom"/>
          </w:tcPr>
          <w:p>
            <w:pPr>
              <w:spacing w:after="0"/>
              <w:rPr>
                <w:sz w:val="21"/>
                <w:szCs w:val="21"/>
                <w:color w:val="auto"/>
              </w:rPr>
            </w:pPr>
          </w:p>
        </w:tc>
      </w:tr>
      <w:tr>
        <w:trPr>
          <w:trHeight w:val="216"/>
        </w:trPr>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&gt; 2.75:1.0</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 2.75:1.0 but &gt; 2.25:1</w:t>
            </w:r>
          </w:p>
        </w:tc>
        <w:tc>
          <w:tcPr>
            <w:tcW w:w="1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&lt; 2.25:1</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discussed below, the Credit Agreement was amended in November 2015. See table below of applicable margin rates as of November 11, 2015.</w:t>
      </w:r>
    </w:p>
    <w:p>
      <w:pPr>
        <w:spacing w:after="0" w:line="248"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Base Rate</w:t>
            </w: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LIBOR Rate</w:t>
            </w:r>
          </w:p>
        </w:tc>
      </w:tr>
      <w:tr>
        <w:trPr>
          <w:trHeight w:val="245"/>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Leverage Ratio</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34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220" w:type="dxa"/>
            <w:vAlign w:val="bottom"/>
          </w:tcPr>
          <w:p>
            <w:pPr>
              <w:spacing w:after="0"/>
              <w:rPr>
                <w:sz w:val="21"/>
                <w:szCs w:val="21"/>
                <w:color w:val="auto"/>
              </w:rPr>
            </w:pPr>
          </w:p>
        </w:tc>
      </w:tr>
      <w:tr>
        <w:trPr>
          <w:trHeight w:val="216"/>
        </w:trPr>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&gt; 3.25:1.0</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 3.25:1.0 but &gt; 2.75:1</w:t>
            </w:r>
          </w:p>
        </w:tc>
        <w:tc>
          <w:tcPr>
            <w:tcW w:w="1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3.00%</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&lt; 2.75:1.0 but &gt; 2.25:1</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r>
      <w:tr>
        <w:trPr>
          <w:trHeight w:val="234"/>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&lt; 2..25:1.0</w:t>
            </w:r>
          </w:p>
        </w:tc>
        <w:tc>
          <w:tcPr>
            <w:tcW w:w="1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r>
    </w:tbl>
    <w:p>
      <w:pPr>
        <w:spacing w:after="0" w:line="206"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We amended the Credit Agreement again in March 2016. Under this amendment, we expanded our overall credit facility by $12.5 million to $29.2 million. This includes a $26.2 million term facility which is due March 21, 2019 and a $3.0 million revolving credit facility. The amendment also changed the applicable margin rates for determining the interest rate payable on the loan as follows:</w:t>
      </w:r>
    </w:p>
    <w:p>
      <w:pPr>
        <w:spacing w:after="0" w:line="199"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Base Rate</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LIBOR Rate</w:t>
            </w:r>
          </w:p>
        </w:tc>
      </w:tr>
      <w:tr>
        <w:trPr>
          <w:trHeight w:val="245"/>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Leverage Ratio</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34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220" w:type="dxa"/>
            <w:vAlign w:val="bottom"/>
          </w:tcPr>
          <w:p>
            <w:pPr>
              <w:spacing w:after="0"/>
              <w:rPr>
                <w:sz w:val="21"/>
                <w:szCs w:val="21"/>
                <w:color w:val="auto"/>
              </w:rPr>
            </w:pPr>
          </w:p>
        </w:tc>
      </w:tr>
      <w:tr>
        <w:trPr>
          <w:trHeight w:val="216"/>
        </w:trPr>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2.75:1</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&gt; 2.75:1 but ≤ 3.25:1</w:t>
            </w:r>
          </w:p>
        </w:tc>
        <w:tc>
          <w:tcPr>
            <w:tcW w:w="1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3.25:1</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4.50%</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w:t>
            </w: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principal amount of the term loan is payable as follows:</w:t>
      </w:r>
    </w:p>
    <w:p>
      <w:pPr>
        <w:spacing w:after="0" w:line="27" w:lineRule="exact"/>
        <w:rPr>
          <w:sz w:val="20"/>
          <w:szCs w:val="20"/>
          <w:color w:val="auto"/>
        </w:rPr>
      </w:pPr>
    </w:p>
    <w:p>
      <w:pPr>
        <w:ind w:left="140" w:hanging="132"/>
        <w:spacing w:after="0"/>
        <w:tabs>
          <w:tab w:leader="none" w:pos="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$491,016 on June 30, 2016 and the last day of each fiscal quarter thereafter up to March 31, 2017; and</w:t>
      </w:r>
    </w:p>
    <w:p>
      <w:pPr>
        <w:spacing w:after="0" w:line="9"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$654,688 on June 30, 2017 and the last day of each fiscal quarter thereafter.</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amendment also changed our leverage ratio requirements under the Credit Agreement. We have now agreed to a leverage ratio not to exceed 5.00:1 at March 31, 2016, stepping down to 2.25:1 at December 31, 2018.</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voluntarily prepay the principal amount outstanding under the revolving loan at any time without penalty. We must pay a premium if we make a voluntary prepayment of outstanding principal under the term loan during the first two years following the closing date or if we are required to prepay outstanding principal under the Credit Agreement with proceeds resulting from certain stock or asset sales or debt incurrence. The premium is 1% or 0.5% of the principal amount being prepaid depending on whether the prepayment occurs on or before the first anniversary of the closing date or subsequent to the first anniversary date through the second anniversary of the closing date. In addition, we are required to repay outstanding principal with 50% of excess cash flow, certain over advances, stock or asset sale proceeds, debt proceeds, and proceeds from judgments and settlements. As of December 31, 2015, none of these payments were due.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Credit Agreement, we were required to maintain a fixed charge coverage ratio of not less than 1.5 to 1.0 beginning with the quarter ending June 30, 2014 and each calendar quarter thereafter, and a leverage ratio of not greater than 3.5 to 1.0 beginning with the quarter ending June 30, 2014 with the levels stepping down thereafter. The Credit Agreement was amended in August 2014 to revise the leverage ratio beginning with the quarter ending September 30, 2014 to a leverage ratio of not greater than 3.6 to 1.0 with the levels stepping down thereafter. We amended the Credit Agreement in August 2014, March 2015 and November 2015. The August 2014 amendment revised the leverage ratio beginning with the quarter ending September 30, 2014 to a leverage ratio of not greater than 3.6 to 1.0 with the levels stepping down thereafter. The March 2015 amendment authorized us to optionally prepay, subject to specified conditions, the Subordinated Note Payable to Roomtag and revised the leverage ratio beginning with the quarter ended March 31, 2015 to a leverage ratio of not greater than 3.5 to 1.0 with the levels stepping down thereafter. The November 2015 amendment increased the applicable margin relative to the LIBOR rate upon which we compute the interest payable. We agreed that if our leverage ratio is (a) less than or equal to 2.25:1, (b) greater than 2.25:1 but less than or equal to 2.75:1, (c) greater than 2.75:1 but less than or equal to 3.25:1 or (d) greater than 3.25:1, the applicable margin relative to the LIBOR rate would be 3.00, 3.50, 4.00 or 4.50 percentage points, respectively. We further agreed that until the leverage ratio testing period ending September 30, 2016, we will pay interest based on the 4.50 percentage point margin level.</w:t>
      </w:r>
    </w:p>
    <w:p>
      <w:pPr>
        <w:sectPr>
          <w:pgSz w:w="11900" w:h="16838" w:orient="portrait"/>
          <w:cols w:equalWidth="0" w:num="1">
            <w:col w:w="11420"/>
          </w:cols>
          <w:pgMar w:left="240" w:top="118"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others, limitations with respect to debt, liens, fundamental changes, sale of assets, prepayment of debt, investments, dividends, and transactions with affiliates.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2015, we were in compliance with all covenants, with the exception of the leverage ratio and fixed charge coverage ratio, and all payments remain current. A covenant waiver related to the leverage ratio and fixed charge coverage ratio was received from the lender as of December 31, 2015. As a result of the waiver, we were in compliance with all covenant requirements as of December 31, 2015. We expect to be in compliance or be able to obtain compliance through debt repayments with the available cash on hand or as we expect to be generated from the ordinary course of operations over the next twelve months.</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among others, payment defaults, covenant defaults, judgment defaults, bankruptcy and insolvency events, cross defaults to certain indebtedness, incorrect representations or warranties, and change of control. In some cases, the defaults are subject to customary notice and grace period provisions.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2014 and in connection with the Credit Agreement, we and our wholly-owned active subsidiaries entered into a Guaranty and Security Agreement with Wells Fargo Bank. Under the Guaranty and Security Agreement, we and each of our wholly-owned active subsidiaries have guaranteed all obligations under the Credit Agreement and granted a security interest in substantially all of our and our subsidiaries’ assets.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6 - Note Payable in the accompanying financial statements for more information about the Credit Agreement and Guaranty and Security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twelve months and to maintain compliance with the terms of our debt agreements and related covenants or to obtain compliance through debt repayments made with our available cash on hand or anticipated for receipt in the ordinary course of operations.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prepared our consolidated financial statements in accordance with U.S. generally accepted accounting principles and included the accounts of Asure’s wholly owned subsidiaries. We have eliminated all significant intercompany transactions and balances in the consolidation. Preparation of the consolidated financial statements in conformity with U.S. generally accepted accounting principles requires management to make estimates and assumptions that affect the reported amounts of the assets and liabilities, the disclosure of contingent assets and liabilities at the date of the financial statements and the reported amounts of revenues and expenses during the reporting period. These estimates are subjective in nature and involve judgments that affect the reported amounts of assets and liabilities, the disclosure of contingent assets and liabilities at fiscal year end and the reported amounts of revenues and expenses during the fiscal year. The more significant estimates made by management include the valuation allowance for our gross deferred tax asset, lease impairment, useful lives of fixed assets, the determination of the fair value of our long-lived assets and the fair value of assets acquired and liabilities assumed during acquisitions. We base our estimates on historical experience and on various other assumptions that management believes are reasonable under the given circumstances. These estimates could be materially different under different conditions and assumptions. Additionally, the actual amounts could differ from the estimates made. Management periodically evaluates estimates used in the preparation of our financial statements for continued reasonableness. We prospectively apply appropriate adjustments, if any, to our estimates based upon our periodic evaluation.</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following are our critical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revenues consist of software-as-a-service (“SaaS”) offerings, time-based software subscriptions, and perpetual software license sale arrangements that also, typically, include hardware, maintenance/support and professional services elements. We recognize revenue when persuasive evidence of an arrangement exists, delivery has occurred, the fee is fixed or determinable and collectability is probable. Software and software-related elements are recognized in accordance with Accounting Standards Codification (“ASC”) 985-605 </w:t>
      </w:r>
      <w:r>
        <w:rPr>
          <w:rFonts w:ascii="Times New Roman" w:cs="Times New Roman" w:eastAsia="Times New Roman" w:hAnsi="Times New Roman"/>
          <w:sz w:val="18"/>
          <w:szCs w:val="18"/>
          <w:i w:val="1"/>
          <w:iCs w:val="1"/>
          <w:color w:val="auto"/>
        </w:rPr>
        <w:t>Software Revenue Recognition</w:t>
      </w:r>
      <w:r>
        <w:rPr>
          <w:rFonts w:ascii="Times New Roman" w:cs="Times New Roman" w:eastAsia="Times New Roman" w:hAnsi="Times New Roman"/>
          <w:sz w:val="18"/>
          <w:szCs w:val="18"/>
          <w:color w:val="auto"/>
        </w:rPr>
        <w:t xml:space="preserve">. Non-software revenue elements are recognized in accordance with ASC 605-25 </w:t>
      </w:r>
      <w:r>
        <w:rPr>
          <w:rFonts w:ascii="Times New Roman" w:cs="Times New Roman" w:eastAsia="Times New Roman" w:hAnsi="Times New Roman"/>
          <w:sz w:val="18"/>
          <w:szCs w:val="18"/>
          <w:i w:val="1"/>
          <w:iCs w:val="1"/>
          <w:color w:val="auto"/>
        </w:rPr>
        <w:t>Revenue Recognition Multiple-Element Arrangements.</w:t>
      </w:r>
      <w:r>
        <w:rPr>
          <w:rFonts w:ascii="Times New Roman" w:cs="Times New Roman" w:eastAsia="Times New Roman" w:hAnsi="Times New Roman"/>
          <w:sz w:val="18"/>
          <w:szCs w:val="18"/>
          <w:color w:val="auto"/>
        </w:rPr>
        <w:t xml:space="preserve"> Since we currently offer our software solutions under either a perpetual license, time-based subscription or SaaS model, revenue recognition timing varies based on which form of software rights the customer purchases.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SaaS arrangements and time-based software subscriptions typically have an initial term ranging from one to three years and are renewable on an annual basis. A typical SaaS arrangement will also include hardware, setup and implementation services. We allocate the value of the SaaS arrangement to each separate unit of accounting based on vendor-specific objective evidence (“VSOE”) of selling price, when it exists, third-party evidence of selling price for like services or best estimated selling price. Revenue allocated to the SaaS/software subscription element is recognized ratably over the non-cancellable term of the SaaS/subscription service. Revenue allocated to other units of accounting included in the arrangement is recognized as outlined in the paragraphs below.</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typically sell perpetual software licenses in multiple-element arrangements that include hardware, maintenance/support and professional services. Software license revenues, determined under the residual method, are generally recognized on the date we deliver the product to the customer if VSOE of fair value exists for all undelivered elements of the software arrangement. If VSOE of fair value does not exist for an undelivered element, we defer the entire software arrangement and recognize it ratably, over the remaining non-cancellable maintenance term, after we have delivered all other undelivered elements. We base VSOE of fair value for our maintenance, training and installation services on the prices charged for these services when sold separately. We recognize revenue allocated to hardware, maintenance and services elements included in the arrangement as outlined below.</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Hardware devices sold to customers (typically time clock, LCD panel and other peripheral devices) are not essential to the functionality of the software and as such are treated as non-software elements for revenue recognition purposes. WE recognize hardware revenue when title passes to the customer, typically the date we ship the hardware. If we sell hardware under a hardware-as-a-service (“HaaS”) arrangement, title to the hardware remains with Asure and we recognize hardware usage revenue ratably over the non-cancellable term of the hardware service delivery, typically one year.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professional services offerings which typically include data migration, set up, training, and implementation services are also not essential to the functionality of our products, as third parties or customers themselves can perform these services. Set up and implementation services typically occur at the start of the software arrangement while certain other professional services, depending on the nature of the services and customer requirements, may occur several months later. We can reasonably estimate professional services performed for a fixed fee and recognize them on a proportional performance basis. We recognize revenue for professional services engagements billed on a time and materials basis as we deliver the services. We recognize revenues on all other professional services engagements upon the earlier of the completion of the services deliverable or the expiration of the customer’s right to receive the service.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maintenance/support revenues ratably over the non-cancellable term of the support agreement. Initial maintenance/support terms are typically one to three years and are renewable on an annual basis.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recognize revenue for agreements with rights of return, refundable fees, cancellation rights or substantive acceptance clauses until these return, refund or cancellation rights have expired or acceptance has occurred. Our arrangements with resellers do not allow for any rights of return.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Deferred revenue includes amounts received from customers in excess of revenue we recognize, and is comprised of deferred maintenance, service and other revenue. We recognize deferred revenues when we complete the service and over the terms of the arrangements, primarily ranging from one to three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and Goodwill</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record the assets acquired and liabilities assumed in business combinations at their respective fair values at the date of acquisition, with any excess purchase price recorded as goodwill. Valuation of intangible assets and in-process research and development entails significant estimates and assumptions including, but not limited to, estimating future cash flows from product sales, developing appropriate discount rates, estimating probability rates for the continuation of customer relationships and renewal of customer contracts and approximating the useful lives of the intangible assets acquired. U.S. generally accepted accounting principles (“GAAP”) require that we not amortize intangible assets other than goodwill with an indefinite life until we determine their life as finite. We must amortize all other intangible assets over their useful lives. We currently amortize our acquired intangible assets with definite lives over periods ranging from one to nine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Intangible Assets and Long-Lived Assets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Financial Accounting Standards Board (“FASB”) ASC 350, we review and evaluate our long-lived assets for impairment whenever events or changes in circumstances indicate that we may not recover their net book value. When such factors and circumstances exist, including those noted above, we compare the assets’ carrying amounts against the estimated undiscounted cash flows we expect to generate with those assets over their estimated useful lives. If the carrying amounts are greater than the undiscounted cash flows, we estimate the fair values of those assets by discounting the projected cash flows. We record any excess of the carrying amounts over the fair values as impairments in that fiscal period. There has been no impairment of intangible assets and long-lived assets for the periods presented.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in a business combination. We test goodwill for impairment on an annual basis in the fourth fiscal quarter of each year, and between annual tests if indicators of potential impairment exist, using a fair-value-based approach. There has been no impairment of goodwill for the periods presented. See Notes 4 and 5 in the accompanying financial statements for additional information regarding goodwill.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No. 2014-09, Revenue from Contracts with Customers (Accounting Standards Codification “ASC” Topic 606). The purpose of this ASU is to converge revenue recognition requirements per GAAP and International Financial Reporting Standards (IFRS). The core principle of the guidance is that an entity should recognize revenue to depict the transfer of promised goods or services to customers in an amount that reflects the consideration to which the entity expects to be entitled in exchange for those goods or services. The amendments in this ASU are effective for interim and annual reporting periods beginning after December 15, 2016, with early adoption not permitted by the FASB; however, in August 2015, the FASB issued ASU 2015-14, Revenue from Contracts with Customers (Topic 606): Deferral of the Effective Date after public comment respondents supported a proposal to delay the effective date of this ASU to annual reporting periods beginning after December 15, 2017, including interim reporting periods within that reporting period. We are currently evaluating the impact of this ASU on its consolidated financial position, results of operations and cash flows.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April 2015, the FASB issued ASU No. 2015-03, "Interest—Imputation of Interest (Subtopic 835-30): Simplifying the Presentation of Debt Issuance Costs ("ASU 2015-03"). ASU 2015-03 requires us to present debt issuance costs in our balance sheet as a direct deduction from the carrying value of the associated debt liability, consistent with the presentation of a debt discount. Prior to the issuance of the standard, we presented debt issuance costs in the balance sheet as an asset. We are currently assessing the impact that adopting this new accounting guidance will have on our consolidated financial statements and footnote disclosures. ASU 2015-03 is effective for fiscal years, and interim periods within those years, beginning after December 15, 2015. Accordingly, the standard is effective for us on January 1, 2016.</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2015, the FASB issued ASU 2015-11, “Simplifying the Measurement of Inventory”. Inventory within the scope of this update is required to be measured at the lower of its cost or net realizable value, with net realizable value being the estimated selling price in the ordinary course of business, less reasonably predictable costs of completion, disposal, and transportation. This ASU is effective prospectively for fiscal years and interim periods beginning after December 15, 2016, with early adoption permitted. We are currently assessing the impact of adopting this standards update on our consolidated financial statements.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2015, the FASB issued ASU 2015-16, “Business Combinations: Simplifying the Accounting for Measurement-Period Adjustments,” which requires acquirers to recognize adjustments to provisional amounts identified during the reporting period in which the acquirer determines the adjustment amounts. Acquirers should record, in the same period’s financial statements, the effect on earnings of changes in depreciation, amortization, or other income effects, if any, as a result of the change to the provisional amounts, calculated as if the accounting had been completed at the acquisition date. Application of the standard, which should be applied prospectively, is required for the annual and interim periods beginning after December 15, 2015. We adopted this standard early. The adoption did not have a material impact on our results of operations or financial position.</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The core principle of the standard is that a lessee should recognize the assets and liabilities that arise from leases. A lessee should recognize in its statement of financial position a liability to make lease payments (the lease liability) and a right-of-use asset representing its right to use the underlying asset for the lease term. We will be required to adopt the new standard in the first quarter of 2019. We are currently evaluating the impact this new standard will have on our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under the Exchange Act and are not required to provide the information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The financial statements and supplementary data required by this Item 8 are listed in Items 15(a)(1) and (2) of Part III of this Report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December 31, 2015 to provide reasonable assurance that information required to be disclosed by us in reports that we file or submit under the Exchange Act is</w:t>
      </w:r>
    </w:p>
    <w:p>
      <w:pPr>
        <w:spacing w:after="0" w:line="2"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processed, summarized and reported within the time periods specified in the Securities and Exchange Commission rules and forms and</w:t>
      </w:r>
    </w:p>
    <w:p>
      <w:pPr>
        <w:spacing w:after="0" w:line="9" w:lineRule="exact"/>
        <w:rPr>
          <w:rFonts w:ascii="Times New Roman" w:cs="Times New Roman" w:eastAsia="Times New Roman" w:hAnsi="Times New Roman"/>
          <w:sz w:val="18"/>
          <w:szCs w:val="18"/>
          <w:color w:val="auto"/>
        </w:rPr>
      </w:pPr>
    </w:p>
    <w:p>
      <w:pPr>
        <w:ind w:right="20" w:firstLine="8"/>
        <w:spacing w:after="0" w:line="261" w:lineRule="auto"/>
        <w:tabs>
          <w:tab w:leader="none" w:pos="2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our management, including our principal executive officer and principal financial officer, as appropriate to allow timely decisions regarding required disclosure.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Management conducted an evaluation of the effectiveness of our internal control over financial reporting based on the criteria set forth in Internal Control – Integrated Framework issued by the Committee of Sponsoring Organizations of the Treadway Commission (1992 Framework) (“COSO”). Based on our assessment, management has concluded that our internal control over financial reporting was effective as of December 31, 2015 to provide reasonable assurance regarding the reliability of financial reporting and the preparation of financial statements in accordance with U.S. generally accepted accounting principles.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regarding our internal control over financial reporting. Management’s report was not subject to attestation by our independent registered public accounting firm pursuant to the rules of the Securities and Exchange Commission that permit us to provide only management’s reporting in this annual report.</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AND EXECUTIVE OFFICERS OF THE REGISTRANT</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by reference from our definitive proxy statement to be filed relating to our 2016 annual meeting of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by reference from our definitive proxy statement to be filed relating to our 2016 annual meeting of shareholders.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by reference from our definitive proxy statement to be filed relating to our 2016 annual meeting of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by reference from our definitive proxy statement to be filed relating to our 2016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by reference from our definitive proxy statement to be filed relating to our 2016 annual meeting of shareholders.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52"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 and Financial Statements Schedules</w:t>
      </w:r>
    </w:p>
    <w:p>
      <w:pPr>
        <w:spacing w:after="0" w:line="252" w:lineRule="exact"/>
        <w:rPr>
          <w:rFonts w:ascii="Times New Roman" w:cs="Times New Roman" w:eastAsia="Times New Roman" w:hAnsi="Times New Roman"/>
          <w:sz w:val="18"/>
          <w:szCs w:val="18"/>
          <w:b w:val="1"/>
          <w:bCs w:val="1"/>
          <w:color w:val="auto"/>
        </w:rPr>
      </w:pPr>
    </w:p>
    <w:p>
      <w:pPr>
        <w:ind w:left="1620" w:right="3880" w:hanging="802"/>
        <w:spacing w:after="0" w:line="532" w:lineRule="auto"/>
        <w:tabs>
          <w:tab w:leader="none" w:pos="1065"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following financial statements of the Company are filed as a part of this Report: Report of Independent Registered Public Accounting Firm</w:t>
      </w: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Financial Statements</w:t>
      </w:r>
    </w:p>
    <w:p>
      <w:pPr>
        <w:spacing w:after="0" w:line="229" w:lineRule="exact"/>
        <w:rPr>
          <w:rFonts w:ascii="Times New Roman" w:cs="Times New Roman" w:eastAsia="Times New Roman" w:hAnsi="Times New Roman"/>
          <w:sz w:val="18"/>
          <w:szCs w:val="18"/>
          <w:b w:val="1"/>
          <w:bCs w:val="1"/>
          <w:color w:val="auto"/>
        </w:rPr>
      </w:pPr>
    </w:p>
    <w:p>
      <w:pPr>
        <w:ind w:left="2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Consolidated Balance Sheets as of December 31, 2015 and 2014</w:t>
      </w:r>
    </w:p>
    <w:p>
      <w:pPr>
        <w:spacing w:after="0" w:line="225" w:lineRule="exact"/>
        <w:rPr>
          <w:rFonts w:ascii="Times New Roman" w:cs="Times New Roman" w:eastAsia="Times New Roman" w:hAnsi="Times New Roman"/>
          <w:sz w:val="18"/>
          <w:szCs w:val="18"/>
          <w:b w:val="1"/>
          <w:bCs w:val="1"/>
          <w:color w:val="auto"/>
        </w:rPr>
      </w:pPr>
    </w:p>
    <w:p>
      <w:pPr>
        <w:ind w:left="2120" w:right="1260"/>
        <w:spacing w:after="0" w:line="49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Consolidated Statements of Comprehensive Loss for the Years Ended December 31, 2015 and 2014 Consolidated Statements of Changes in Stockholders’ Equity for the Years Ended December 31, 2015 and 2014 Consolidated Statements of Cash Flows for the Years Ended December 31, 2015 and 2014</w:t>
      </w:r>
    </w:p>
    <w:p>
      <w:pPr>
        <w:spacing w:after="0" w:line="1"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rFonts w:ascii="Times New Roman" w:cs="Times New Roman" w:eastAsia="Times New Roman" w:hAnsi="Times New Roman"/>
          <w:sz w:val="18"/>
          <w:szCs w:val="18"/>
          <w:b w:val="1"/>
          <w:bCs w:val="1"/>
          <w:color w:val="auto"/>
        </w:rPr>
      </w:pPr>
    </w:p>
    <w:p>
      <w:pPr>
        <w:ind w:left="1080" w:hanging="262"/>
        <w:spacing w:after="0"/>
        <w:tabs>
          <w:tab w:leader="none" w:pos="108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jc w:val="both"/>
        <w:ind w:firstLine="1621"/>
        <w:spacing w:after="0" w:line="266"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 regulation of the Securities and Exchange Commission are either not required under the related instructions, are inapplicable or the required information is included elsewhere in the Consolidated Financial Statements and incorporated herein by reference.</w:t>
      </w:r>
    </w:p>
    <w:p>
      <w:pPr>
        <w:spacing w:after="0" w:line="19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The exhibits filed in response to Item 601 of Regulations S-K are listed in the Index to the Exhibits.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10400" w:type="dxa"/>
            <w:vAlign w:val="bottom"/>
            <w:gridSpan w:val="9"/>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1020" w:type="dxa"/>
            <w:vAlign w:val="bottom"/>
          </w:tcPr>
          <w:p>
            <w:pPr>
              <w:spacing w:after="0"/>
              <w:rPr>
                <w:sz w:val="13"/>
                <w:szCs w:val="13"/>
                <w:color w:val="auto"/>
              </w:rPr>
            </w:pPr>
          </w:p>
        </w:tc>
      </w:tr>
      <w:tr>
        <w:trPr>
          <w:trHeight w:val="426"/>
        </w:trPr>
        <w:tc>
          <w:tcPr>
            <w:tcW w:w="1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9380" w:type="dxa"/>
            <w:vAlign w:val="bottom"/>
            <w:gridSpan w:val="7"/>
          </w:tcPr>
          <w:p>
            <w:pPr>
              <w:ind w:left="1160"/>
              <w:spacing w:after="0"/>
              <w:rPr>
                <w:sz w:val="20"/>
                <w:szCs w:val="20"/>
                <w:color w:val="auto"/>
              </w:rPr>
            </w:pPr>
            <w:r>
              <w:rPr>
                <w:rFonts w:ascii="Times New Roman" w:cs="Times New Roman" w:eastAsia="Times New Roman" w:hAnsi="Times New Roman"/>
                <w:sz w:val="18"/>
                <w:szCs w:val="18"/>
                <w:b w:val="1"/>
                <w:bCs w:val="1"/>
                <w:color w:val="auto"/>
              </w:rPr>
              <w:t>Index To Financial Statements and Financial Statement Schedules (Item 15(a)(1) of Part IV)</w:t>
            </w:r>
          </w:p>
        </w:tc>
        <w:tc>
          <w:tcPr>
            <w:tcW w:w="1020" w:type="dxa"/>
            <w:vAlign w:val="bottom"/>
          </w:tcPr>
          <w:p>
            <w:pPr>
              <w:spacing w:after="0"/>
              <w:rPr>
                <w:sz w:val="24"/>
                <w:szCs w:val="24"/>
                <w:color w:val="auto"/>
              </w:rPr>
            </w:pPr>
          </w:p>
        </w:tc>
      </w:tr>
      <w:tr>
        <w:trPr>
          <w:trHeight w:val="439"/>
        </w:trPr>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10400" w:type="dxa"/>
            <w:vAlign w:val="bottom"/>
            <w:gridSpan w:val="9"/>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Report of Independent Registered Public Accounting Firm</w:t>
              </w:r>
            </w:hyperlink>
          </w:p>
        </w:tc>
        <w:tc>
          <w:tcPr>
            <w:tcW w:w="10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F - 1</w:t>
            </w:r>
          </w:p>
        </w:tc>
      </w:tr>
      <w:tr>
        <w:trPr>
          <w:trHeight w:val="218"/>
        </w:trPr>
        <w:tc>
          <w:tcPr>
            <w:tcW w:w="42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180" w:type="dxa"/>
            <w:vAlign w:val="bottom"/>
            <w:gridSpan w:val="5"/>
          </w:tcPr>
          <w:p>
            <w:pPr>
              <w:spacing w:after="0"/>
              <w:rPr>
                <w:sz w:val="18"/>
                <w:szCs w:val="18"/>
                <w:color w:val="auto"/>
              </w:rPr>
            </w:pPr>
          </w:p>
        </w:tc>
        <w:tc>
          <w:tcPr>
            <w:tcW w:w="1020" w:type="dxa"/>
            <w:vAlign w:val="bottom"/>
          </w:tcPr>
          <w:p>
            <w:pPr>
              <w:spacing w:after="0"/>
              <w:rPr>
                <w:sz w:val="18"/>
                <w:szCs w:val="18"/>
                <w:color w:val="auto"/>
              </w:rPr>
            </w:pPr>
          </w:p>
        </w:tc>
      </w:tr>
      <w:tr>
        <w:trPr>
          <w:trHeight w:val="194"/>
        </w:trPr>
        <w:tc>
          <w:tcPr>
            <w:tcW w:w="180" w:type="dxa"/>
            <w:vAlign w:val="bottom"/>
          </w:tcPr>
          <w:p>
            <w:pPr>
              <w:spacing w:after="0"/>
              <w:rPr>
                <w:sz w:val="16"/>
                <w:szCs w:val="16"/>
                <w:color w:val="auto"/>
              </w:rPr>
            </w:pPr>
          </w:p>
        </w:tc>
        <w:tc>
          <w:tcPr>
            <w:tcW w:w="464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Consolidated Balance Sheets as of December 31, 2015 and 2014</w:t>
              </w:r>
            </w:hyperlink>
          </w:p>
        </w:tc>
        <w:tc>
          <w:tcPr>
            <w:tcW w:w="5580" w:type="dxa"/>
            <w:vAlign w:val="bottom"/>
            <w:gridSpan w:val="4"/>
          </w:tcPr>
          <w:p>
            <w:pPr>
              <w:spacing w:after="0"/>
              <w:rPr>
                <w:sz w:val="16"/>
                <w:szCs w:val="16"/>
                <w:color w:val="auto"/>
              </w:rPr>
            </w:pPr>
          </w:p>
        </w:tc>
        <w:tc>
          <w:tcPr>
            <w:tcW w:w="1020" w:type="dxa"/>
            <w:vAlign w:val="bottom"/>
          </w:tcPr>
          <w:p>
            <w:pPr>
              <w:ind w:left="660"/>
              <w:spacing w:after="0" w:line="194" w:lineRule="exact"/>
              <w:rPr>
                <w:sz w:val="20"/>
                <w:szCs w:val="20"/>
                <w:color w:val="auto"/>
              </w:rPr>
            </w:pPr>
            <w:r>
              <w:rPr>
                <w:rFonts w:ascii="Times New Roman" w:cs="Times New Roman" w:eastAsia="Times New Roman" w:hAnsi="Times New Roman"/>
                <w:sz w:val="18"/>
                <w:szCs w:val="18"/>
                <w:color w:val="auto"/>
                <w:w w:val="99"/>
              </w:rPr>
              <w:t>F - 2</w:t>
            </w:r>
          </w:p>
        </w:tc>
      </w:tr>
      <w:tr>
        <w:trPr>
          <w:trHeight w:val="196"/>
        </w:trPr>
        <w:tc>
          <w:tcPr>
            <w:tcW w:w="180" w:type="dxa"/>
            <w:vAlign w:val="bottom"/>
          </w:tcPr>
          <w:p>
            <w:pPr>
              <w:spacing w:after="0"/>
              <w:rPr>
                <w:sz w:val="17"/>
                <w:szCs w:val="17"/>
                <w:color w:val="auto"/>
              </w:rPr>
            </w:pPr>
          </w:p>
        </w:tc>
        <w:tc>
          <w:tcPr>
            <w:tcW w:w="71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Consolidated Statements of Comprehensive Loss for the Years Ended December 31, 2015 and 2014</w:t>
              </w:r>
            </w:hyperlink>
          </w:p>
        </w:tc>
        <w:tc>
          <w:tcPr>
            <w:tcW w:w="3040" w:type="dxa"/>
            <w:vAlign w:val="bottom"/>
            <w:gridSpan w:val="2"/>
          </w:tcPr>
          <w:p>
            <w:pPr>
              <w:spacing w:after="0"/>
              <w:rPr>
                <w:sz w:val="17"/>
                <w:szCs w:val="17"/>
                <w:color w:val="auto"/>
              </w:rPr>
            </w:pPr>
          </w:p>
        </w:tc>
        <w:tc>
          <w:tcPr>
            <w:tcW w:w="102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w w:val="99"/>
              </w:rPr>
              <w:t>F - 3</w:t>
            </w:r>
          </w:p>
        </w:tc>
      </w:tr>
      <w:tr>
        <w:trPr>
          <w:trHeight w:val="196"/>
        </w:trPr>
        <w:tc>
          <w:tcPr>
            <w:tcW w:w="180" w:type="dxa"/>
            <w:vAlign w:val="bottom"/>
          </w:tcPr>
          <w:p>
            <w:pPr>
              <w:spacing w:after="0"/>
              <w:rPr>
                <w:sz w:val="17"/>
                <w:szCs w:val="17"/>
                <w:color w:val="auto"/>
              </w:rPr>
            </w:pPr>
          </w:p>
        </w:tc>
        <w:tc>
          <w:tcPr>
            <w:tcW w:w="80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Consolidated Statements of Changes in Stockholders’ Equity for the Years Ended December 31, 2015 and 2014</w:t>
              </w:r>
            </w:hyperlink>
          </w:p>
        </w:tc>
        <w:tc>
          <w:tcPr>
            <w:tcW w:w="2140" w:type="dxa"/>
            <w:vAlign w:val="bottom"/>
          </w:tcPr>
          <w:p>
            <w:pPr>
              <w:spacing w:after="0"/>
              <w:rPr>
                <w:sz w:val="17"/>
                <w:szCs w:val="17"/>
                <w:color w:val="auto"/>
              </w:rPr>
            </w:pPr>
          </w:p>
        </w:tc>
        <w:tc>
          <w:tcPr>
            <w:tcW w:w="102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w w:val="99"/>
              </w:rPr>
              <w:t>F - 4</w:t>
            </w:r>
          </w:p>
        </w:tc>
      </w:tr>
      <w:tr>
        <w:trPr>
          <w:trHeight w:val="196"/>
        </w:trPr>
        <w:tc>
          <w:tcPr>
            <w:tcW w:w="180" w:type="dxa"/>
            <w:vAlign w:val="bottom"/>
          </w:tcPr>
          <w:p>
            <w:pPr>
              <w:spacing w:after="0"/>
              <w:rPr>
                <w:sz w:val="17"/>
                <w:szCs w:val="17"/>
                <w:color w:val="auto"/>
              </w:rPr>
            </w:pPr>
          </w:p>
        </w:tc>
        <w:tc>
          <w:tcPr>
            <w:tcW w:w="10220" w:type="dxa"/>
            <w:vAlign w:val="bottom"/>
            <w:gridSpan w:val="8"/>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Consolidated Statements of Cash Flows for the Years Ended December 31, 2015 and 2014</w:t>
              </w:r>
            </w:hyperlink>
          </w:p>
        </w:tc>
        <w:tc>
          <w:tcPr>
            <w:tcW w:w="102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w w:val="99"/>
              </w:rPr>
              <w:t>F - 5</w:t>
            </w:r>
          </w:p>
        </w:tc>
      </w:tr>
      <w:tr>
        <w:trPr>
          <w:trHeight w:val="196"/>
        </w:trPr>
        <w:tc>
          <w:tcPr>
            <w:tcW w:w="180" w:type="dxa"/>
            <w:vAlign w:val="bottom"/>
          </w:tcPr>
          <w:p>
            <w:pPr>
              <w:spacing w:after="0"/>
              <w:rPr>
                <w:sz w:val="17"/>
                <w:szCs w:val="17"/>
                <w:color w:val="auto"/>
              </w:rPr>
            </w:pPr>
          </w:p>
        </w:tc>
        <w:tc>
          <w:tcPr>
            <w:tcW w:w="65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Notes to the Consolidated Financial Statements</w:t>
              </w:r>
            </w:hyperlink>
          </w:p>
        </w:tc>
        <w:tc>
          <w:tcPr>
            <w:tcW w:w="3720" w:type="dxa"/>
            <w:vAlign w:val="bottom"/>
            <w:gridSpan w:val="3"/>
          </w:tcPr>
          <w:p>
            <w:pPr>
              <w:spacing w:after="0"/>
              <w:rPr>
                <w:sz w:val="17"/>
                <w:szCs w:val="17"/>
                <w:color w:val="auto"/>
              </w:rPr>
            </w:pPr>
          </w:p>
        </w:tc>
        <w:tc>
          <w:tcPr>
            <w:tcW w:w="102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w w:val="99"/>
              </w:rPr>
              <w:t>F - 6</w:t>
            </w:r>
          </w:p>
        </w:tc>
      </w:tr>
      <w:tr>
        <w:trPr>
          <w:trHeight w:val="20"/>
        </w:trPr>
        <w:tc>
          <w:tcPr>
            <w:tcW w:w="1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 Asure Software, Inc.</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Asure Software, Inc. as of December 31, 2015 and 2014, and the related consolidated statements of comprehensive loss, changes in stockholders’ equity, and cash flows for each of the two years in the period ended December 31, 2015.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Asure Software, Inc. at December 31, 2015 and 2014, and the consolidated results of its operations and its cash flows for each of the two years in the period ended December 31, 2015, in conformity with U.S. generally accepted accounting principles.</w:t>
      </w: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2016</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8360" w:type="dxa"/>
            <w:vAlign w:val="bottom"/>
            <w:gridSpan w:val="2"/>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03"/>
        </w:trPr>
        <w:tc>
          <w:tcPr>
            <w:tcW w:w="1020" w:type="dxa"/>
            <w:vAlign w:val="bottom"/>
            <w:tcBorders>
              <w:top w:val="single" w:sz="8" w:color="0000EE"/>
            </w:tcBorders>
          </w:tcPr>
          <w:p>
            <w:pPr>
              <w:spacing w:after="0"/>
              <w:rPr>
                <w:sz w:val="24"/>
                <w:szCs w:val="24"/>
                <w:color w:val="auto"/>
              </w:rPr>
            </w:pPr>
          </w:p>
        </w:tc>
        <w:tc>
          <w:tcPr>
            <w:tcW w:w="7340" w:type="dxa"/>
            <w:vAlign w:val="bottom"/>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ASURE SOFTWARE, INC.</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34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020" w:type="dxa"/>
            <w:vAlign w:val="bottom"/>
          </w:tcPr>
          <w:p>
            <w:pPr>
              <w:spacing w:after="0"/>
              <w:rPr>
                <w:sz w:val="20"/>
                <w:szCs w:val="20"/>
                <w:color w:val="auto"/>
              </w:rPr>
            </w:pPr>
          </w:p>
        </w:tc>
        <w:tc>
          <w:tcPr>
            <w:tcW w:w="734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rPr>
              <w:t>(Amounts in thousands)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02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r>
      <w:tr>
        <w:trPr>
          <w:trHeight w:val="198"/>
        </w:trPr>
        <w:tc>
          <w:tcPr>
            <w:tcW w:w="8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r>
      <w:tr>
        <w:trPr>
          <w:trHeight w:val="198"/>
        </w:trPr>
        <w:tc>
          <w:tcPr>
            <w:tcW w:w="83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and note receivable, net of allowance for doubtful accounts of $145 and $120 at December 31, 2015</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and December 31, 2014, respectively</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5,295</w:t>
            </w: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19"/>
                <w:szCs w:val="19"/>
                <w:color w:val="auto"/>
              </w:rPr>
            </w:pPr>
          </w:p>
        </w:tc>
      </w:tr>
      <w:tr>
        <w:trPr>
          <w:trHeight w:val="216"/>
        </w:trPr>
        <w:tc>
          <w:tcPr>
            <w:tcW w:w="8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7,088</w:t>
            </w: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1,539</w:t>
            </w: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17,500</w:t>
            </w: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8,322</w:t>
            </w:r>
          </w:p>
        </w:tc>
      </w:tr>
      <w:tr>
        <w:trPr>
          <w:trHeight w:val="223"/>
        </w:trPr>
        <w:tc>
          <w:tcPr>
            <w:tcW w:w="8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34,211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34,468</w:t>
            </w:r>
          </w:p>
        </w:tc>
      </w:tr>
      <w:tr>
        <w:trPr>
          <w:trHeight w:val="21"/>
        </w:trPr>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1,533</w:t>
            </w: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w:t>
            </w:r>
          </w:p>
        </w:tc>
      </w:tr>
      <w:tr>
        <w:trPr>
          <w:trHeight w:val="223"/>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14,402</w:t>
            </w: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14,381</w:t>
            </w:r>
          </w:p>
        </w:tc>
      </w:tr>
      <w:tr>
        <w:trPr>
          <w:trHeight w:val="22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9"/>
                <w:szCs w:val="19"/>
                <w:color w:val="auto"/>
              </w:rPr>
            </w:pPr>
          </w:p>
        </w:tc>
      </w:tr>
      <w:tr>
        <w:trPr>
          <w:trHeight w:val="216"/>
        </w:trPr>
        <w:tc>
          <w:tcPr>
            <w:tcW w:w="8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15,595</w:t>
            </w: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1,500 shares authorized; none issued or outstanding</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3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$.01 par value; 11,000 shares authorized; 6,674 and 6,434 shares issued, 6,290 and 6,050</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shares outstanding at December 31, 2015 and December 31, 2014, respectively</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384 shares at December 31, 2015 and December 31, 2014</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(5,017)</w:t>
            </w:r>
          </w:p>
        </w:tc>
      </w:tr>
      <w:tr>
        <w:trPr>
          <w:trHeight w:val="216"/>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278,656</w:t>
            </w: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(270,903)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(269,146)</w:t>
            </w:r>
          </w:p>
        </w:tc>
      </w:tr>
      <w:tr>
        <w:trPr>
          <w:trHeight w:val="22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34,211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34,468</w:t>
            </w:r>
          </w:p>
        </w:tc>
      </w:tr>
      <w:tr>
        <w:trPr>
          <w:trHeight w:val="21"/>
        </w:trPr>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Cloud revenue</w:t>
            </w: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13,628</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Hardware revenue</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Maintenance and support revenue</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premise software license revenue</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856</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Professional services revenue</w:t>
            </w:r>
          </w:p>
        </w:tc>
        <w:tc>
          <w:tcPr>
            <w:tcW w:w="18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26,906</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8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7,340</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19,566</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20,892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14,964</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19,883</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19,308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(317</w:t>
            </w: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(loss)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settlement of note payable and litigation</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lease termination</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debt refinancing</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and other</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(1,109)</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 amortization of original issue discount (OID)</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other loss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(1,221)</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 before income taxes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(1,538)</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provision</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(1,757)</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1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(1,749)</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basic and diluted shares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6,176,000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6,002,000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6,176,000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6,002,000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2300" w:type="dxa"/>
            <w:vAlign w:val="bottom"/>
            <w:gridSpan w:val="3"/>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03"/>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60" w:type="dxa"/>
            <w:vAlign w:val="bottom"/>
            <w:gridSpan w:val="9"/>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ASURE SOFTWARE, INC.</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0" w:type="dxa"/>
            <w:vAlign w:val="bottom"/>
            <w:gridSpan w:val="1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CHANGES IN STOCKHOLDERS’ EQUITY</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7"/>
          </w:tcPr>
          <w:p>
            <w:pPr>
              <w:jc w:val="center"/>
              <w:ind w:left="930"/>
              <w:spacing w:after="0"/>
              <w:rPr>
                <w:sz w:val="20"/>
                <w:szCs w:val="20"/>
                <w:color w:val="auto"/>
              </w:rPr>
            </w:pPr>
            <w:r>
              <w:rPr>
                <w:rFonts w:ascii="Times New Roman" w:cs="Times New Roman" w:eastAsia="Times New Roman" w:hAnsi="Times New Roman"/>
                <w:sz w:val="18"/>
                <w:szCs w:val="18"/>
                <w:color w:val="auto"/>
              </w:rPr>
              <w:t>(Amounts in thousands)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80" w:type="dxa"/>
            <w:vAlign w:val="bottom"/>
          </w:tcPr>
          <w:p>
            <w:pPr>
              <w:spacing w:after="0"/>
              <w:rPr>
                <w:sz w:val="24"/>
                <w:szCs w:val="24"/>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8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45"/>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80" w:type="dxa"/>
            <w:vAlign w:val="bottom"/>
          </w:tcPr>
          <w:p>
            <w:pPr>
              <w:spacing w:after="0"/>
              <w:rPr>
                <w:sz w:val="21"/>
                <w:szCs w:val="21"/>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80" w:type="dxa"/>
            <w:vAlign w:val="bottom"/>
          </w:tcPr>
          <w:p>
            <w:pPr>
              <w:spacing w:after="0"/>
              <w:rPr>
                <w:sz w:val="21"/>
                <w:szCs w:val="21"/>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194"/>
        </w:trPr>
        <w:tc>
          <w:tcPr>
            <w:tcW w:w="20" w:type="dxa"/>
            <w:vAlign w:val="bottom"/>
          </w:tcPr>
          <w:p>
            <w:pPr>
              <w:spacing w:after="0"/>
              <w:rPr>
                <w:sz w:val="16"/>
                <w:szCs w:val="16"/>
                <w:color w:val="auto"/>
              </w:rPr>
            </w:pPr>
          </w:p>
        </w:tc>
        <w:tc>
          <w:tcPr>
            <w:tcW w:w="22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5,963</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278,159</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(268,884)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4,217</w:t>
            </w: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r>
      <w:tr>
        <w:trPr>
          <w:trHeight w:val="198"/>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issued upon option</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198"/>
        </w:trPr>
        <w:tc>
          <w:tcPr>
            <w:tcW w:w="20" w:type="dxa"/>
            <w:vAlign w:val="bottom"/>
          </w:tcPr>
          <w:p>
            <w:pPr>
              <w:spacing w:after="0"/>
              <w:rPr>
                <w:sz w:val="17"/>
                <w:szCs w:val="17"/>
                <w:color w:val="auto"/>
              </w:rPr>
            </w:pPr>
          </w:p>
        </w:tc>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upon</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conversion of convertible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r>
      <w:tr>
        <w:trPr>
          <w:trHeight w:val="223"/>
        </w:trPr>
        <w:tc>
          <w:tcPr>
            <w:tcW w:w="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194"/>
        </w:trPr>
        <w:tc>
          <w:tcPr>
            <w:tcW w:w="20" w:type="dxa"/>
            <w:vAlign w:val="bottom"/>
          </w:tcPr>
          <w:p>
            <w:pPr>
              <w:spacing w:after="0"/>
              <w:rPr>
                <w:sz w:val="16"/>
                <w:szCs w:val="16"/>
                <w:color w:val="auto"/>
              </w:rPr>
            </w:pPr>
          </w:p>
        </w:tc>
        <w:tc>
          <w:tcPr>
            <w:tcW w:w="22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6,050</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278,656</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(269,146)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4,471</w:t>
            </w: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198"/>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issued upon option</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(1,757)</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(1,757)</w:t>
            </w:r>
          </w:p>
        </w:tc>
      </w:tr>
      <w:tr>
        <w:trPr>
          <w:trHeight w:val="223"/>
        </w:trPr>
        <w:tc>
          <w:tcPr>
            <w:tcW w:w="20" w:type="dxa"/>
            <w:vAlign w:val="bottom"/>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194"/>
        </w:trPr>
        <w:tc>
          <w:tcPr>
            <w:tcW w:w="20" w:type="dxa"/>
            <w:vAlign w:val="bottom"/>
          </w:tcPr>
          <w:p>
            <w:pPr>
              <w:spacing w:after="0"/>
              <w:rPr>
                <w:sz w:val="16"/>
                <w:szCs w:val="16"/>
                <w:color w:val="auto"/>
              </w:rPr>
            </w:pPr>
          </w:p>
        </w:tc>
        <w:tc>
          <w:tcPr>
            <w:tcW w:w="2280" w:type="dxa"/>
            <w:vAlign w:val="bottom"/>
            <w:tcBorders>
              <w:top w:val="single" w:sz="8" w:color="CCEEFF"/>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8"/>
        </w:trPr>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6,290</w:t>
            </w:r>
          </w:p>
        </w:tc>
        <w:tc>
          <w:tcPr>
            <w:tcW w:w="200" w:type="dxa"/>
            <w:vAlign w:val="bottom"/>
          </w:tcPr>
          <w:p>
            <w:pPr>
              <w:spacing w:after="0"/>
              <w:rPr>
                <w:sz w:val="20"/>
                <w:szCs w:val="20"/>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279,649</w:t>
            </w:r>
          </w:p>
        </w:tc>
        <w:tc>
          <w:tcPr>
            <w:tcW w:w="100" w:type="dxa"/>
            <w:vAlign w:val="bottom"/>
          </w:tcPr>
          <w:p>
            <w:pPr>
              <w:spacing w:after="0"/>
              <w:rPr>
                <w:sz w:val="20"/>
                <w:szCs w:val="20"/>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(270,903)</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3,718</w:t>
            </w: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3480" w:type="dxa"/>
            <w:vAlign w:val="bottom"/>
            <w:gridSpan w:val="7"/>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3480" w:type="dxa"/>
            <w:vAlign w:val="bottom"/>
            <w:gridSpan w:val="7"/>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(1,757)</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operations:</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8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Gain on settlement of note payable and litigation</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debt refinancing</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Restricted cash</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and note receivable</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Inventory</w:t>
            </w:r>
          </w:p>
        </w:tc>
        <w:tc>
          <w:tcPr>
            <w:tcW w:w="8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expenses and other long-term obligations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2,706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(1,406)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Disposals of property and equipment</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Collection of note receivable</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(1,388)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(4,200)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8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(6,765)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on amendment of senior notes payable</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financing fees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on capital leases</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 proceeds for settlement of notes payable dispute, net of expenses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proceeds from exercise of stock options</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8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(1,143)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 of foreign exchange rates</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8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3,938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880" w:type="dxa"/>
            <w:vAlign w:val="bottom"/>
          </w:tcPr>
          <w:p>
            <w:pPr>
              <w:jc w:val="right"/>
              <w:ind w:right="69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1,158</w:t>
            </w:r>
          </w:p>
        </w:tc>
        <w:tc>
          <w:tcPr>
            <w:tcW w:w="50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500"/>
              <w:spacing w:after="0" w:line="196" w:lineRule="exact"/>
              <w:rPr>
                <w:sz w:val="20"/>
                <w:szCs w:val="20"/>
                <w:color w:val="auto"/>
              </w:rPr>
            </w:pPr>
            <w:r>
              <w:rPr>
                <w:rFonts w:ascii="Times New Roman" w:cs="Times New Roman" w:eastAsia="Times New Roman" w:hAnsi="Times New Roman"/>
                <w:sz w:val="18"/>
                <w:szCs w:val="18"/>
                <w:b w:val="1"/>
                <w:bCs w:val="1"/>
                <w:color w:val="auto"/>
              </w:rPr>
              <w:t>320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995</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receivable from customer</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Accrued contingent consideration upon acquisition</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subordinated convertible notes payable to equity</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Asure Software, Inc., a Delaware corporation incorporated in 1985, is a provider of cloud-based software-as-a-service (“SaaS”) time and labor management and workspace management solutions that enable organizations to manage their office environments, as well as their human resource and payroll processes effectively and efficiently. Asure develops, markets, sells and supports its offerings worldwide through its principal office in Austin, Texas, and through additional offices in Dedham, Massachusetts; Traverse City, Michigan and London, United Kingdom.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Asure has prepared its consolidated financial statements in accordance with U.S. generally accepted accounting principles and has included the accounts of its wholly owned subsidiaries. We have eliminated all significant intercompany transactions and balances in consolidation. Asure has made certain reclassifications to the prior year’s financial statements to conform to the current year presentation.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chief operating decision maker is Asure’s Chief Executive Officer who reviews financial information presented on a company-wide basis. Accordingly, in accordance with Financial Accounting Standards Board (“FASB”) Accounting Standards Codification (“ASC”) 280, Asure determined that it has a single reporting segment and operating unit structure.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Preparation of the consolidated financial statements in conformity with U.S. generally accepted accounting principles requires management to make estimates and assumptions that affect the reported amounts of the assets and liabilities, the disclosure of contingent assets and liabilities at the date of the financial statements and the reported amounts of revenues and expenses during the reporting period. These estimates are subjective in nature and involve judgments that affect the reported amounts of assets and liabilities, the disclosure of contingent assets and liabilities at fiscal year end and the reported amounts of revenues and expenses during the fiscal year. The more significant estimates made by management include the valuation allowance for the gross deferred tax assets, lease impairment, useful lives of fixed assets, the determination of the fair value of its long-lived assets, and the fair value of assets acquired and liabilities assumed during acquisitions. Asure bases its estimates on historical experience and on various other assumptions its management believes reasonable under the given circumstances. These estimates could be materially different under different conditions and assumptions. Additionally, the actual amounts could differ from the estimates made. Management periodically evaluates estimates used in the preparation of the financial statements for continued reasonableness. Asure makes appropriate adjustments, if any, to the estimates used prospectively based upon such periodic evaluation.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CONTINGENCIES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2014, we reached an agreement to settle all claims and dismiss all pending litigation with PeopleCube Holding B.V. and Meeting Maker Holding B.V., the sellers of the capital stock of Meeting Maker – United States, Inc. (dba PeopleCube) that we purchased in July 2012.</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settlement agreement, the parties agreed to dismiss the litigation and we settled the remaining balance due by us of $2,460 on the Subordinated Notes Payable: PeopleCube Acquisition Note for $1,700. Separately, our insurance carrier agreed to pay us $500 in conjunction with the settlement. With the insurance proceeds and after offsetting any related litigation and other settlement costs incurred in 2014 of $226, we recorded a net gain of $1,034 on the settlement in the first quarter of 2014. We paid this note in full in the first quarter of 2014. Finally, as part of the original purchase price in the Meeting Maker acquisition, we issued 255,000 shares of our common stock subject to a lockup that expired as to 125,000 shares in June 2013 and 130,000 shares in June 2014. This settlement also removed the lockup for the remaining 130,000 shares.</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Asure has been, and in the future may be, the defendant or plaintiff in various actions arising in the normal course of business, as of December 31, 2015, we were not party to any pending legal proceedings.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2015, Asure’s principal sources of liquidity consisted of approximately $1,158 of cash and cash equivalents, future cash generated from operations and $3,000 available for borrowing under our Wells Fargo revolver discussed in Note 6 – Notes Payable. Cash and cash equivalents were $320 at December 31, 2014. The Credit Agreement was amended in March 2015 to authorize us to optionally prepay, subject to specified conditions, the Subordinated Note Payable to Roomtag and to revise the leverage ratio beginning with the quarter ended March 31, 2015 to a leverage ratio of not greater than 3.5 to 1.0 with the levels stepping down thereafter. We also amended the Credit Agreement in November 2015. The November 2015 amendment increased the applicable margin relative to the LIBOR rate upon which we compute the interest payable. We agreed that if our leverage ratio is</w:t>
      </w:r>
    </w:p>
    <w:p>
      <w:pPr>
        <w:jc w:val="both"/>
        <w:ind w:firstLine="8"/>
        <w:spacing w:after="0" w:line="255"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or equal to 2.25:1, (b) greater than 2.25:1 but less than or equal to 2.75:1, (c) greater than 2.75:1 but less than or equal to 3.25:1 or (d) greater than 3.25:1, the applicable margin relative to the LIBOR rate would be 3.00, 3.50, 4.00 or 4.50 percentage points, respectively. We further agreed that until the leverage ratio testing period ending September 30, 2016, we will pay interest based on the 4.50 percentage point margin level.</w:t>
      </w:r>
    </w:p>
    <w:p>
      <w:pPr>
        <w:spacing w:after="0" w:line="21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amended our Credit Agreement in March 2016. Under this amendment, we expanded our overall credit facility by $12,500 to $29,188. This includes a $26,188 term facility which is due March 21, 2019 and a $3,000 revolving credit facility. The amendment also changed the applicable margin rates for determining the interest rate payable on the loan as follows:</w:t>
      </w:r>
    </w:p>
    <w:p>
      <w:pPr>
        <w:spacing w:after="0" w:line="199"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Base Rate</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LIBOR Rate</w:t>
            </w:r>
          </w:p>
        </w:tc>
      </w:tr>
      <w:tr>
        <w:trPr>
          <w:trHeight w:val="245"/>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Leverage Ratio</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34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220" w:type="dxa"/>
            <w:vAlign w:val="bottom"/>
          </w:tcPr>
          <w:p>
            <w:pPr>
              <w:spacing w:after="0"/>
              <w:rPr>
                <w:sz w:val="21"/>
                <w:szCs w:val="21"/>
                <w:color w:val="auto"/>
              </w:rPr>
            </w:pPr>
          </w:p>
        </w:tc>
      </w:tr>
      <w:tr>
        <w:trPr>
          <w:trHeight w:val="216"/>
        </w:trPr>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2.75:1</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&gt; 2.75:1 but ≤ 3.25:1</w:t>
            </w:r>
          </w:p>
        </w:tc>
        <w:tc>
          <w:tcPr>
            <w:tcW w:w="1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3.25:1</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4.50%</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w:t>
            </w: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principal amount of the term loan is payable as follows:</w:t>
      </w:r>
    </w:p>
    <w:p>
      <w:pPr>
        <w:spacing w:after="0" w:line="27" w:lineRule="exact"/>
        <w:rPr>
          <w:sz w:val="20"/>
          <w:szCs w:val="20"/>
          <w:color w:val="auto"/>
        </w:rPr>
      </w:pPr>
    </w:p>
    <w:p>
      <w:pPr>
        <w:ind w:left="140" w:hanging="132"/>
        <w:spacing w:after="0"/>
        <w:tabs>
          <w:tab w:leader="none" w:pos="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$491 on June 30, 2016 and the last day of each fiscal quarter thereafter up to March 31, 2017; and</w:t>
      </w:r>
    </w:p>
    <w:p>
      <w:pPr>
        <w:spacing w:after="0" w:line="9"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$655 on June 30, 2017 and the last day of each fiscal quarter thereafter.</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amendment also changed our leverage ratio requirements under the Credit Agreement. We have now agreed to a leverage ratio not to exceed 5.00:1 at March 31, 2016, stepping down to 2.25:1 at December 31, 2018.</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2015, we were in compliance with all covenants, with the exception of the leverage ratio and fixed charge coverage ratio, and all payments remain current. A covenant waiver related to the leverage ratio and fixed charge coverage ratio was received from the lender as of December 31, 2015. As a result of the waiver, we were in compliance with all covenant requirements as of December 31, 2015. We expect to be in compliance or be able to obtain compliance through debt repayments with the available cash on hand or as we expect to be generated from the ordinary course of operations over the next twelve months.</w:t>
      </w:r>
    </w:p>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is focused on growing our existing product offering, as well as our customer base, to increase our recurring revenues. We have made and will continue to explore additional strategic acquisitions. In July 2014, we acquired all of the outstanding common stock of FotoPunch, Inc. and in August 2014, we acquired substantially all the assets of Roomtag, LLC. We expect to fund any future acquisitions with equity, available cash, future cash from operations, or debt from outside sources.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twelve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cash equivalents include cash deposits and highly liquid investments with an original maturity of three months or less when purchased.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OF FINANCIAL INSTRUMENTS</w:t>
      </w:r>
    </w:p>
    <w:p>
      <w:pPr>
        <w:spacing w:after="0" w:line="25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7"/>
          <w:szCs w:val="17"/>
          <w:color w:val="auto"/>
        </w:rPr>
        <w:t>We apply the authoritative guidance on fair value measurements for financial assets and liabilities that are measured at fair value on a recurring basis, and non-financial assets and liabilities such as goodwill, intangible assets and property and equipment that are measured at fair value on a non-recurring basis.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 OF CREDIT RISK</w:t>
      </w:r>
    </w:p>
    <w:p>
      <w:pPr>
        <w:spacing w:after="0" w:line="256"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We grant credit to customers in the ordinary course of business. We limit concentrations of credit risk related to our trade accounts receivable due to our large number of customers, including third-party resellers, and their dispersion across several industries and geographic areas. We perform ongoing credit evaluations of our customers and maintain reserves for potential credit losses. We require advanced payments or secured transactions when deemed necessary.</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Asure reviews potential customers’ credit ratings to evaluate customers’ ability to pay an obligation within the payment term, which is usually net thirty days. If we receive reasonable assurance of payment and know of no barriers to legally enforce the payment obligation, we may extend credit to customers. We place accounts on “Credit Hold” if a placed order exceeds the credit limit or sooner if circumstances warrant. We follow our credit policy consistently and routinely monitor our delinquent accounts for indications of uncollectability.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ALLOWANCE FOR DOUBTFUL ACCOUNTS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Asure maintains an allowance for doubtful accounts at an amount we estimate to be sufficient to provide adequate protection against losses resulting from extending credit to our customers. We base this allowance, in the aggregate, on historical collection experience, age of receivables and general economic conditions. The allowance for doubtful accounts also considers the need for specific customer reserves based on the customer’s payment experience, credit-worthiness and age of receivable balances. Asure’s bad debts have not been material and have been within management expectations.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annual changes in our allowance for doubtful accounts: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78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doubtful accounts receivable</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Write-off of uncollectible accounts receivable</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780" w:type="dxa"/>
            <w:vAlign w:val="bottom"/>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78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78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doubtful accounts receivable</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8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Write-off of uncollectible accounts receivable</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780" w:type="dxa"/>
            <w:vAlign w:val="bottom"/>
          </w:tcPr>
          <w:p>
            <w:pPr>
              <w:spacing w:after="0"/>
              <w:rPr>
                <w:sz w:val="2"/>
                <w:szCs w:val="2"/>
                <w:color w:val="auto"/>
              </w:rPr>
            </w:pPr>
          </w:p>
        </w:tc>
        <w:tc>
          <w:tcPr>
            <w:tcW w:w="6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r>
      <w:tr>
        <w:trPr>
          <w:trHeight w:val="20"/>
        </w:trPr>
        <w:tc>
          <w:tcPr>
            <w:tcW w:w="780" w:type="dxa"/>
            <w:vAlign w:val="bottom"/>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INVENTORY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Inventory consists of finished goods and is stated at the lower of cost or market, using the first-in, first-out method. Inventory includes purchased LCD panels and a full range of biometric and card recognition clocks that we sell as part of our workforce and workspace management solutions. We routinely assess our on-hand inventory for timely identification and measurement of obsolete, slow-moving or otherwise impaired inventory.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PROPERTY AND EQUIPMENT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record property and equipment, including software, furniture and equipment, at cost less accumulated depreciation. We record depreciation using the straight-line method over the estimated economic useful lives of the assets, which range from two to five years. Property and equipment also includes leasehold improvements and capital leases which we record at cost less accumulated amortization. We record amortization of leasehold improvements and capital leases using the straight-line method over the shorter of the lease term or over the life of the respective assets, as applicable. We recognize gains or losses related to retirements or disposition of fixed assets in the period incurred. We expense repair and maintenance costs as incurred. We periodically review the estimated economic useful lives of our property and equipment and make adjustments, if necessary, according to the latest information available.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Asure has accounted for our acquisitions using the acquisition method of accounting based on ASC 805—</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which requires recognition and measurement of all identifiable assets acquired and liabilities assumed at their full fair value as of the date we obtain control. We have determined the fair value of assets acquired and liabilities assumed based upon our estimates of the fair values of assets acquired and liabilities assumed in the acquisitions. Goodwill represents the excess of the purchase price over the fair value of the net tangible and identifiable intangible assets acquired. While we have used our best estimates and assumptions to measure the fair value of the identifiable assets acquired and liabilities assumed at the acquisition date, our estimates are inherently uncertain and subject to refinement. As a result, during the measurement period, not to exceed one year from the date of acquisition, any changes in the estimated fair values of the net assets recorded for the acquisitions will result in an adjustment to goodwill. Upon the conclusion of the measurement period or final determination of the values of assets acquired or liabilities assumed, whichever comes first, we record any subsequent adjustments to our consolidated statements of comprehensive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 AND OTHER INTANGIBLE ASSETS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in a business combination. We test goodwill for impairment on an annual basis in the fourth fiscal quarter of each year, and between annual tests if indicators of potential impairment exist, using a fair-value-based approach. There has been no impairment of goodwill for the periods presented. See Notes 4 and 5 for additional information regarding goodwill. We amortize intangible assets not considered to have an indefinite useful life using the straight-line method over their useful lives. We currently amortize our acquired intangible assets with definite lives over periods ranging from one to nine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 See Note 5 – Goodwill and Other Intangible Assets for additional information regarding intangible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IMPAIRMENT OF LONG-LIVED ASSETS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ASC 350, Asure reviews and evaluates our long-lived assets for impairment whenever events or changes in circumstances indicate that we may not recover their net book value. When such factors and circumstances exist, we compare the assets’ carrying amounts against the estimated undiscounted cash flows to be generated by those assets over their estimated useful lives. If the carrying amounts are greater than the undiscounted cash flows, we estimate the fair values of those assets by discounting the projected cash flows. We record any excess of the carrying amounts over the fair values as impairments in that fiscal period. We have identified no impairment of long-lived assets during any of the periods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ORIGINAL ISSUE DISCOUNTS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recognize original issue discounts, when incurred on the issuance of debt, as a reduction of the current loan obligations that we amortize to interest expense over the life of the related indebtedness using the effective interest rate method. We record the amortization as interest expense – amortization of OID in the Consolidated Statements of Comprehensive Loss. At the time of any repurchases or retirements of related debt, we will write off the remaining amount of net original issue discounts and include them in the calculation of gain/(loss) on retirement in the consolidated statements of comprehensive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revenues consist of software-as-a-service (“SaaS”) offerings, time-based software subscriptions, and perpetual software license sale arrangements that also, typically, include hardware, maintenance/support and professional services elements. We recognize revenue when persuasive evidence of an arrangement exists, delivery has occurred, the fee is fixed or determinable and collectability is probable. Software and software-related elements are recognized in accordance with ASC 985-605 </w:t>
      </w:r>
      <w:r>
        <w:rPr>
          <w:rFonts w:ascii="Times New Roman" w:cs="Times New Roman" w:eastAsia="Times New Roman" w:hAnsi="Times New Roman"/>
          <w:sz w:val="18"/>
          <w:szCs w:val="18"/>
          <w:i w:val="1"/>
          <w:iCs w:val="1"/>
          <w:color w:val="auto"/>
        </w:rPr>
        <w:t>Software Revenue Recognition</w:t>
      </w:r>
      <w:r>
        <w:rPr>
          <w:rFonts w:ascii="Times New Roman" w:cs="Times New Roman" w:eastAsia="Times New Roman" w:hAnsi="Times New Roman"/>
          <w:sz w:val="18"/>
          <w:szCs w:val="18"/>
          <w:color w:val="auto"/>
        </w:rPr>
        <w:t xml:space="preserve">. We recognized non-software revenue elements in accordance with ASC 605-25 </w:t>
      </w:r>
      <w:r>
        <w:rPr>
          <w:rFonts w:ascii="Times New Roman" w:cs="Times New Roman" w:eastAsia="Times New Roman" w:hAnsi="Times New Roman"/>
          <w:sz w:val="18"/>
          <w:szCs w:val="18"/>
          <w:i w:val="1"/>
          <w:iCs w:val="1"/>
          <w:color w:val="auto"/>
        </w:rPr>
        <w:t>Revenue Recognition Multiple-Element Arrangements.</w:t>
      </w:r>
      <w:r>
        <w:rPr>
          <w:rFonts w:ascii="Times New Roman" w:cs="Times New Roman" w:eastAsia="Times New Roman" w:hAnsi="Times New Roman"/>
          <w:sz w:val="18"/>
          <w:szCs w:val="18"/>
          <w:color w:val="auto"/>
        </w:rPr>
        <w:t xml:space="preserve"> Since we currently offer our software solutions under either a perpetual license, time-based subscription or SaaS model, revenue recognition timing varies based on which form of software rights the customer purchases.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SaaS arrangements and time-based software subscriptions typically have an initial term ranging from one to three years and are renewable on an annual basis. A typical SaaS arrangement will also include hardware, setup and implementation services. We allocate the value of the SaaS arrangement to each separate unit of accounting based on vendor-specific objective evidence (“VSOE”) of selling price, when it exists, third-party evidence of selling price for like services or best estimated selling price. Revenue allocated to the SaaS/software subscription element is recognized ratably over the non-cancellable term of the SaaS/subscription service. We recognize revenue allocated to other units of accounting included in the arrangement as outlined in the paragraphs below.</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typically sell perpetual software licenses in multiple-element arrangements that include hardware, maintenance/support and professional services. We generally recognize software license revenues, determined under the residual method, on the date we deliver the product to the customer if VSOE of fair value exists for all undelivered elements of the software arrangement. If VSOE of fair value does not exist for an undelivered element, we defer the entire software arrangement and recognize it ratably over the remaining non-cancellable maintenance term after we have delivered all other undelivered elements. We base VSOE of fair value for our maintenance, training and installation services on the prices charged for these services when sold separately. We recognize revenue allocated to hardware, maintenance and services elements included in the arrangement as outlined below.</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Hardware devices sold to customers (typically time clock, LCD panel and other peripheral devices) are not essential to the functionality of the software and as such we treat them as non-software elements for revenue recognition purposes. We recognize hardware revenue when title passes to the customer, typically the date we ship the hardware. If we sell hardware under a hardware-as-a-service (“HaaS”) arrangement, title to the hardware remains with Asure and we recognize hardware usage revenue ratably over the non-cancellable term of the hardware service delivery, typically one year.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professional services offerings which typically include data migration, set up, training, and implementation services are also not essential to the functionality of our products, as third parties or customers themselves can perform these services. Set up and implementation services typically occur at the start of the software arrangement while certain other professional services, depending on the nature of the services and customer requirements, may occur several months later. We can reasonably estimate professional services performed for a fixed fee and recognize this on a proportional performance basis. We recognize revenue for professional services engagements billed on a time and materials basis as we deliver the services. We recognize revenues on all other professional services engagements upon the earlier of the completion of the services deliverable or the expiration of the customer’s right to receive the service.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maintenance/support revenues ratably over the non-cancellable term of the support agreement. Initial maintenance/support terms are typically one to three years and are renewable on an annual basis.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recognize revenue for agreements with rights of return, refundable fees, cancellation rights or substantive acceptance clauses until these return, refund or cancellation rights have expired or acceptance has occurred. Our arrangements with resellers do not allow for any rights of return.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Deferred revenue includes amounts received from customers in excess of revenue recognized, and is comprised of deferred maintenance, service and other revenue. We recognize deferred revenues when we complete the service and over the terms of the arrangements, primarily ranging from one to three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ADVERTISING COSTS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expense advertising costs as we incur them. Advertising expenses were $42 and $9 for 2015 and 2014, respectively. We recorded these expenses as part of sales and marketing expenses on our Consolidated Statements of Comprehensive Loss.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LEASE OBLIGATIONS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Asure recognizes its lease obligations with scheduled rent increases over the term of the lease on a straight-line basis. Accordingly, we charge the total amount of base rentals over the term of our leases to expense on a straight-line method, recording the amount of rental expense in excess of lease payments as a deferred rent liability. As of December 31, 2015 and 2014, we had no deferred rent liabilities. We also recognize capital lease obligations and record the underlying assets and liabilities on our Consolidated Balance Sheets. As of December 31, 2015 and 2014, Asure had $327 and $429 in capital lease obligations, respectively.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 TRANSLATION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measure the financial statements of our foreign subsidiaries using the local currency as the functional currency. Accordingly, we translate the assets and liabilities of these foreign subsidiaries at current exchange rates at each balance sheet date. We record translation adjustments arising from the translation of net assets located outside of the United States into United States dollars in accumulated other comprehensive loss as a separate component of stockholders’ equity. We translate income and expenses from the foreign subsidiaries using monthly average exchange rates. We include net gains and losses resulting from foreign exchange transactions in other income and expenses, which were not significant in 2015 and 2014.</w:t>
      </w:r>
    </w:p>
    <w:p>
      <w:pPr>
        <w:spacing w:after="0" w:line="1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25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We account for income taxes using the liability method under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xml:space="preserve"> which requires recognition of deferred tax assets and liabilities for the expected future tax consequences of events included in the financial statements. Under the liability method, we determine deferred tax assets and liabilities based on the difference between the financial statement and tax bases of assets and liabilities using enacted tax rates in effect in the years in which we expect the differences to reverse. We reduce deferred tax assets by a valuation allowance when it is more likely than not that we will not realize some component or all of the deferred tax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BASED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adopted Statement ASC 718 effective August 1, 2005, using the modified prospective application transition method. The modified prospective application method requires that companies recognize compensation expense on stock-based payment awards that are modified, repurchased or cancelled after the effective date. We estimate the fair value of each award granted from our stock option plan at the date of grant using the Black-Scholes option pricing model. During 2015 and 2014, we granted 257,000 and 190,000 stock options, respectively.</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2015, we expect to recognize $424 of unrecognized compensation costs related to non-vested option grants over the course of the following three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issued 240,000 shares of common stock related to exercises of stock options granted from our stock option plan for 2015 and 12,000 shares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No. 2014-09, Revenue from Contracts with Customers (Accounting Standards Codification “ASC” Topic 606). The purpose of this ASU is to converge revenue recognition requirements per GAAP and International Financial Reporting Standards (“IFRS”). The core principle of the guidance is that an entity should recognize revenue to depict the transfer of promised goods or services to customers in an amount that reflects the consideration to which the entity expects to be entitled in exchange for those goods or services. The amendments in this ASU are effective for interim and annual reporting periods beginning after December 15, 2016, with early adoption not permitted by the FASB; however, in August 2015, the FASB issued ASU 2015-14, Revenue from Contracts with Customers (Topic 606): Deferral of the Effective Date after public comment respondents supported a proposal to delay the effective date of this ASU to annual reporting periods beginning after December 15, 2017, including interim reporting periods within that reporting period. We are currently evaluating the impact of this ASU on its consolidated financial position, results of operations and cash flows.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April 2015, the FASB issued ASU No. 2015-03, "Interest—Imputation of Interest (Subtopic 835-30): Simplifying the Presentation of Debt Issuance Costs ("ASU 2015-03"). ASU 2015-03 requires debt issuance costs to be presented in the balance sheet as a direct deduction from the carrying value of the associated debt liability, consistent with the presentation of a debt discount. Prior to the issuance of the standard, debt issuance costs were required to be presented in the balance sheet as an asset. We are currently assessing the impact that adopting this new accounting guidance will have on our consolidated financial statements and footnote disclosures. ASU 2015-03 is effective for fiscal years, and interim periods within those years, beginning after December 15, 2015. Accordingly, the standard is effective for us on January 1, 2016.</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2015, the FASB issued ASU 2015-11, “Simplifying the Measurement of Inventory”. Inventory within the scope of this update is required to be measured at the lower of its cost or net realizable value, with net realizable value being the estimated selling price in the ordinary course of business, less reasonably predictable costs of completion, disposal, and transportation. This ASU is effective prospectively for fiscal years and interim periods beginning after December 15, 2016, with early adoption permitted. We are currently assessing the impact of adopting this standards update on our consolidated financial statements.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2015, the FASB issued ASU 2015-16, “Business Combinations: Simplifying the Accounting for Measurement-Period Adjustments,” which requires acquirers to recognize adjustments to provisional amounts identified during the reporting period in which the adjustment amounts are determined. Acquirers should record, in the same period’s financial statements, the effect on earnings of changes in depreciation, amortization, or other income effects, if any, as a result of the change to the provisional amounts, calculated as if the accounting had been completed at the acquisition date. Application of the standard, which should be applied prospectively, is required for the annual and interim periods beginning after December 15, 2015. We early adopted this ASU. The adoption did not have a material impact on our results of operations or financial position.</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The core principle of the standard is that a lessee should recognize the assets and liabilities that arise from leases. A lessee should recognize in its statement of financial position a liability to make lease payments (the lease liability) and a right-of-use asset representing its right to use the underlying asset for the lease term. We will be required to adopt the new standard in the first quarter of 2019. We are currently evaluating the impact this new standard will have on our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Accounting Standards Codification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defines fair value, establishes a framework for measuring fair value in U.S. generally accepted accounting principles and expands disclosures about fair value measurements.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ASC 820 establishes a three-tier fair value hierarchy, which is based on the reliability of the inputs used in measuring fair values. These tiers include:</w:t>
      </w:r>
    </w:p>
    <w:p>
      <w:pPr>
        <w:spacing w:after="0" w:line="223"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 xml:space="preserve">Quoted prices in active markets for </w:t>
      </w:r>
      <w:r>
        <w:rPr>
          <w:rFonts w:ascii="Times New Roman" w:cs="Times New Roman" w:eastAsia="Times New Roman" w:hAnsi="Times New Roman"/>
          <w:sz w:val="17"/>
          <w:szCs w:val="17"/>
          <w:i w:val="1"/>
          <w:iCs w:val="1"/>
          <w:color w:val="auto"/>
        </w:rPr>
        <w:t>identical</w:t>
      </w:r>
      <w:r>
        <w:rPr>
          <w:rFonts w:ascii="Times New Roman" w:cs="Times New Roman" w:eastAsia="Times New Roman" w:hAnsi="Times New Roman"/>
          <w:sz w:val="17"/>
          <w:szCs w:val="17"/>
          <w:color w:val="auto"/>
        </w:rPr>
        <w:t xml:space="preserve"> assets or liabilities;</w:t>
      </w:r>
    </w:p>
    <w:p>
      <w:pPr>
        <w:spacing w:after="0" w:line="225" w:lineRule="exact"/>
        <w:rPr>
          <w:sz w:val="20"/>
          <w:szCs w:val="20"/>
          <w:color w:val="auto"/>
        </w:rPr>
      </w:pPr>
    </w:p>
    <w:p>
      <w:pPr>
        <w:ind w:left="1580" w:right="40" w:hanging="917"/>
        <w:spacing w:after="0" w:line="284" w:lineRule="auto"/>
        <w:tabs>
          <w:tab w:leader="none" w:pos="15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 xml:space="preserve">Quoted prices in active markets for </w:t>
      </w:r>
      <w:r>
        <w:rPr>
          <w:rFonts w:ascii="Times New Roman" w:cs="Times New Roman" w:eastAsia="Times New Roman" w:hAnsi="Times New Roman"/>
          <w:sz w:val="18"/>
          <w:szCs w:val="18"/>
          <w:i w:val="1"/>
          <w:iCs w:val="1"/>
          <w:color w:val="auto"/>
        </w:rPr>
        <w:t>similar</w:t>
      </w:r>
      <w:r>
        <w:rPr>
          <w:rFonts w:ascii="Times New Roman" w:cs="Times New Roman" w:eastAsia="Times New Roman" w:hAnsi="Times New Roman"/>
          <w:sz w:val="18"/>
          <w:szCs w:val="18"/>
          <w:color w:val="auto"/>
        </w:rPr>
        <w:t xml:space="preserve"> assets or liabilities; quoted prices in markets that are not active for identical or similar assets or liabilities; and model-driven valuations whose significant inputs are observable; and</w:t>
      </w:r>
    </w:p>
    <w:p>
      <w:pPr>
        <w:spacing w:after="0" w:line="160"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fair value hierarchy for our financial assets measured at fair value on a recurring basis as of December 31, 2015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40" w:type="dxa"/>
            <w:vAlign w:val="bottom"/>
            <w:gridSpan w:val="8"/>
          </w:tcPr>
          <w:p>
            <w:pPr>
              <w:ind w:left="440"/>
              <w:spacing w:after="0"/>
              <w:rPr>
                <w:sz w:val="20"/>
                <w:szCs w:val="20"/>
                <w:color w:val="auto"/>
              </w:rPr>
            </w:pPr>
            <w:r>
              <w:rPr>
                <w:rFonts w:ascii="Times New Roman" w:cs="Times New Roman" w:eastAsia="Times New Roman" w:hAnsi="Times New Roman"/>
                <w:sz w:val="18"/>
                <w:szCs w:val="18"/>
                <w:b w:val="1"/>
                <w:bCs w:val="1"/>
                <w:color w:val="auto"/>
              </w:rPr>
              <w:t>Fair Value Measure at December 31, 2015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Quoted</w:t>
            </w: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45"/>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60" w:type="dxa"/>
            <w:vAlign w:val="bottom"/>
          </w:tcPr>
          <w:p>
            <w:pPr>
              <w:spacing w:after="0"/>
              <w:rPr>
                <w:sz w:val="21"/>
                <w:szCs w:val="21"/>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5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1,158</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1,158</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50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F-12</w:t>
            </w: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40" w:type="dxa"/>
            <w:vAlign w:val="bottom"/>
            <w:gridSpan w:val="8"/>
          </w:tcPr>
          <w:p>
            <w:pPr>
              <w:ind w:left="440"/>
              <w:spacing w:after="0"/>
              <w:rPr>
                <w:sz w:val="20"/>
                <w:szCs w:val="20"/>
                <w:color w:val="auto"/>
              </w:rPr>
            </w:pPr>
            <w:r>
              <w:rPr>
                <w:rFonts w:ascii="Times New Roman" w:cs="Times New Roman" w:eastAsia="Times New Roman" w:hAnsi="Times New Roman"/>
                <w:sz w:val="18"/>
                <w:szCs w:val="18"/>
                <w:b w:val="1"/>
                <w:bCs w:val="1"/>
                <w:color w:val="auto"/>
              </w:rPr>
              <w:t>Fair Value Measure at December 31, 2014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Quoted</w:t>
            </w: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45"/>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60" w:type="dxa"/>
            <w:vAlign w:val="bottom"/>
          </w:tcPr>
          <w:p>
            <w:pPr>
              <w:spacing w:after="0"/>
              <w:rPr>
                <w:sz w:val="21"/>
                <w:szCs w:val="21"/>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5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quantitative information about Level 3 fair value measurements.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FotoPunch, Inc. (“FotoPunch”) in July 2014, we recorded contingent consideration based upon the expected achievement of certain milestone goals. We will record any changes to the fair value of contingent consideration due to changes in assumptions used in preparing the valuation model in selling, general and administrative expenses in the Consolidated Statements of Comprehensive Loss.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Contingent consideration is valued using a multi-scenario discounted cash flow method. The assumptions used in preparing the discounted cash flow method include estimates for outcomes if milestone goals are achieved and the probability of achieving each outcome. Management estimates probabilities and then applies them to management’s conservative case forecast, most likely case forecast and optimistic case forecast with the various scenarios. The Company has retained a third party expert to value the contingent consideration.</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valuation of contingent consideration for the FotoPunch acquisition is based on a Monte Carlo simulation model for fiscal 2016 to 2018, with fiscal 2016 being a partial year from January 1, 2016 to June 30, 2016. Management provided revenue projections (unobservable input) of $650, 2,203 and 3,925 for fiscal 2016 (partial year), fiscal 2017 and fiscal 2018, respectively. The fair value of this valuation is estimated on a quarterly basis through a collaborative effort by the Company's sales, marketing and finance departments. Significant changes in any of the unobservable inputs used in the fair value measurement of contingent consideration in isolation could result in a significantly lower or higher fair value. A change in projected revenue growth rates would be accompanied by a directionally similar change in fair value. Management evaluates the fair value on a quarterly basis based upon updated projections.</w:t>
      </w:r>
    </w:p>
    <w:p>
      <w:pPr>
        <w:sectPr>
          <w:pgSz w:w="11900" w:h="16838" w:orient="portrait"/>
          <w:cols w:equalWidth="0" w:num="1">
            <w:col w:w="11420"/>
          </w:cols>
          <w:pgMar w:left="240" w:top="118" w:right="239" w:bottom="1440" w:gutter="0" w:footer="0" w:header="0"/>
        </w:sectPr>
      </w:pP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annual changes in our contingent consideration:</w:t>
      </w:r>
    </w:p>
    <w:p>
      <w:pPr>
        <w:spacing w:after="0" w:line="2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Balance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-119380</wp:posOffset>
            </wp:positionV>
            <wp:extent cx="542861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Contingent consideration recognized upon acquisition of FotoPunch</w:t>
      </w:r>
    </w:p>
    <w:p>
      <w:pPr>
        <w:spacing w:after="0" w:line="1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Balance at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-119380</wp:posOffset>
            </wp:positionV>
            <wp:extent cx="542861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Adjustment to purchase accounting</w:t>
      </w:r>
    </w:p>
    <w:p>
      <w:pPr>
        <w:spacing w:after="0" w:line="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Change in fair value of earnout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Balance at December 31,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4" w:hanging="1304"/>
        <w:spacing w:after="0"/>
        <w:tabs>
          <w:tab w:leader="none" w:pos="13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1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661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66140" cy="17145"/>
                    </a:xfrm>
                    <a:prstGeom prst="rect">
                      <a:avLst/>
                    </a:prstGeom>
                    <a:noFill/>
                  </pic:spPr>
                </pic:pic>
              </a:graphicData>
            </a:graphic>
          </wp:anchor>
        </w:drawing>
      </w:r>
    </w:p>
    <w:p>
      <w:pPr>
        <w:ind w:left="1104" w:hanging="1104"/>
        <w:spacing w:after="0"/>
        <w:tabs>
          <w:tab w:leader="none" w:pos="11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w:t>
      </w:r>
    </w:p>
    <w:p>
      <w:pPr>
        <w:spacing w:after="0" w:line="27" w:lineRule="exact"/>
        <w:rPr>
          <w:rFonts w:ascii="Times New Roman" w:cs="Times New Roman" w:eastAsia="Times New Roman" w:hAnsi="Times New Roman"/>
          <w:sz w:val="18"/>
          <w:szCs w:val="18"/>
          <w:color w:val="auto"/>
        </w:rPr>
      </w:pPr>
    </w:p>
    <w:p>
      <w:pPr>
        <w:ind w:left="11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w:t>
      </w:r>
    </w:p>
    <w:p>
      <w:pPr>
        <w:spacing w:after="0" w:line="9" w:lineRule="exact"/>
        <w:rPr>
          <w:rFonts w:ascii="Times New Roman" w:cs="Times New Roman" w:eastAsia="Times New Roman" w:hAnsi="Times New Roman"/>
          <w:sz w:val="18"/>
          <w:szCs w:val="18"/>
          <w:color w:val="auto"/>
        </w:rPr>
      </w:pPr>
    </w:p>
    <w:p>
      <w:pPr>
        <w:ind w:left="11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w:t>
      </w:r>
    </w:p>
    <w:p>
      <w:pPr>
        <w:spacing w:after="0" w:line="18" w:lineRule="exact"/>
        <w:rPr>
          <w:sz w:val="20"/>
          <w:szCs w:val="20"/>
          <w:color w:val="auto"/>
        </w:rPr>
      </w:pPr>
    </w:p>
    <w:p>
      <w:pPr>
        <w:ind w:left="1104" w:hanging="1104"/>
        <w:spacing w:after="0"/>
        <w:tabs>
          <w:tab w:leader="none" w:pos="11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8661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8661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56" w:space="720"/>
            <w:col w:w="2944"/>
          </w:cols>
          <w:pgMar w:left="240" w:top="118" w:right="239" w:bottom="1440" w:gutter="0" w:footer="0" w:header="0"/>
          <w:type w:val="continuous"/>
        </w:sectPr>
      </w:pPr>
    </w:p>
    <w:p>
      <w:pPr>
        <w:spacing w:after="0" w:line="1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Changes to the estimated fair value of contingent consideration were primarily due to revisions to the Company's expectations of earn-out achievement.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Assets and Liabilities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with carrying amounts approximating fair value include cash and cash equivalents, trade accounts receivable, accounts payable, accrued expenses and other current liabilities. The carrying amount of these financial assets and liabilities approximates fair value because of their short maturities.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line of credit and notes payable, including current portion, as of December 31, 2015, had a carrying value of $13,687. This carrying value approximates fair value. The fair value is based on interest rates that are currently available to us for issuance of debt with similar terms and remaining maturities.</w:t>
      </w:r>
    </w:p>
    <w:p>
      <w:pPr>
        <w:sectPr>
          <w:pgSz w:w="11900" w:h="16838" w:orient="portrait"/>
          <w:cols w:equalWidth="0" w:num="1">
            <w:col w:w="11420"/>
          </w:cols>
          <w:pgMar w:left="240" w:top="118" w:right="239" w:bottom="1440" w:gutter="0" w:footer="0" w:header="0"/>
          <w:type w:val="continuous"/>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Subsequent to December 31, 2015, through stock and asset purchases, we entered into the human resource management, payroll processing and benefits administration services businesses, which we intend to integrate into our existing AsureForce® product line. See Note 14- Subsequent Events for more information about the Stock Purchase Agreement and Asset Purchase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Acquisitions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2014, Asure acquired all of the issued and outstanding shares of common stock (the “Shares”) of FotoPunch, a Delaware corporation, a cloud-based time and labor solution provider whose photo-based time clock technology transforms any mobile device into a biometric, geo-located time clock. We have been working with FotoPunch since 2012 as a technology partner for our GeoPunch™ solution, which was launched to help customers support a workforce that is increasingly mobile, global and dispersed.</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aggregate consideration for the Shares consisted of (i) $1,500 in cash, a portion of which was used to pay certain obligations of FotoPunch and</w:t>
      </w:r>
    </w:p>
    <w:p>
      <w:pPr>
        <w:spacing w:after="0" w:line="27" w:lineRule="exact"/>
        <w:rPr>
          <w:sz w:val="20"/>
          <w:szCs w:val="20"/>
          <w:color w:val="auto"/>
        </w:rPr>
      </w:pPr>
    </w:p>
    <w:p>
      <w:pPr>
        <w:ind w:firstLine="8"/>
        <w:spacing w:after="0" w:line="261" w:lineRule="auto"/>
        <w:tabs>
          <w:tab w:leader="none" w:pos="2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an additional $3,000 in post-closing earnout payments. We funded the $1,500 cash payment with proceeds from our credit agreement with Wells Fargo.</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$3,000 earnout is payable over three earnout periods (with the first, second and third periods ending June 30, 2015, June 30, 2016 and June 30, 2018, respectively) based on the FotoPunch operations achieving specified target revenues in an earnout period. At least 75% of the target revenues must be achieved in the first and second earnout periods and at least 50% of the target revenues must be achieved in the third earnout period. The earnout (“contingent consideration”) was recorded in Accrued Expenses in the accompanying Consolidated Balance Sheet with an estimated fair value of $327 at the date of acquisition. No earnout consideration was payable as of June 30, 2015. The fair value at December 31, 2015 was $173.</w:t>
      </w:r>
    </w:p>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purchase price was allocated based upon fair value, as follows: net assets of ($1); technology of $440; and goodwill of $1,388. The fair value of technology was determined using the income approach.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August 2014, Asure acquired substantially all the assets of Roomtag, LLC (“Roomtag”). The aggregate consideration for the assets consisted of</w:t>
      </w:r>
    </w:p>
    <w:p>
      <w:pPr>
        <w:spacing w:after="0" w:line="27" w:lineRule="exact"/>
        <w:rPr>
          <w:sz w:val="20"/>
          <w:szCs w:val="20"/>
          <w:color w:val="auto"/>
        </w:rPr>
      </w:pPr>
    </w:p>
    <w:p>
      <w:pPr>
        <w:jc w:val="both"/>
        <w:ind w:firstLine="8"/>
        <w:spacing w:after="0" w:line="254" w:lineRule="auto"/>
        <w:tabs>
          <w:tab w:leader="none" w:pos="2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$933 in cash and (ii) an unsecured subordinated promissory note (“Note”) for $754. We funded the $933 cash payment with proceeds from our credit agreement with Wells Fargo. The Note bears interest at an annual rate of 0.36% and is payable on October 31, 2016. We recorded the Note at fair value using a discount rate of 5%, which resulted in an original issue discount of $73, which will accrete up the note to its aggregate principal amount over the course of the life of the loan using the effective interest method. In August 2015, we paid $722 in full payment of this Note, after applying a 5% discount.</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purchase price was allocated based upon fair value, as follows:</w:t>
            </w:r>
          </w:p>
        </w:tc>
        <w:tc>
          <w:tcPr>
            <w:tcW w:w="1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78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7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20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7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7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w:t>
            </w: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1,112</w:t>
            </w:r>
          </w:p>
        </w:tc>
      </w:tr>
      <w:tr>
        <w:trPr>
          <w:trHeight w:val="27"/>
        </w:trPr>
        <w:tc>
          <w:tcPr>
            <w:tcW w:w="7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1,614</w:t>
            </w:r>
          </w:p>
        </w:tc>
      </w:tr>
      <w:tr>
        <w:trPr>
          <w:trHeight w:val="20"/>
        </w:trPr>
        <w:tc>
          <w:tcPr>
            <w:tcW w:w="780" w:type="dxa"/>
            <w:vAlign w:val="bottom"/>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Acquisition</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July 2012, Asure acquired the capital stock of Meeting Maker – United States, Inc., doing business as (“dba”) PeopleCube, for a combination of cash and Asure common stock. The 2012 acquisition of PeopleCube gave Asure a product line that includes software to assist customers in driving integrated facility management of offices, conference rooms, video conferencing, events and training, alternative workspaces and lobby use.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purchase price was composed of $9,800 in cash, subject to a post-closing working capital adjustment, (ii) 255,000 shares of our common stock, par value $0.01 per share, representing just under five percent of Asure’s outstanding shares and valued at $2.94 per share and (iii) an additional $3,000 note from us due on October 31, 2014, subject to offset of any amounts owed by the seller under the indemnification provisions of the stock purchase agreement. We adjusted the note to a fair value of $2,404 at the date of purchase based on our incremental borrowing rate. We recorded the note at fair value using a discount rate of 10%, which resulted in an original issue discount of $622, which was accreted up to its aggregate principal amount over the course of the life of the loan using the effective interest method. Details regarding the financing of the acquisition are described in Note 6 – Notes Payable. Transaction costs for this acquisition were $905 and we expensed them as incurred.</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2012, we demanded a purchase price adjustment from PeopleCube Holding B.V. and Meeting Maker Holding B.V., the sellers of the capital stock of Meeting Maker – United States, Inc. (dba PeopleCube) that we purchased in July 2012, based on matters we discovered after closing. In the third quarter of 2013, we reached an agreement to settle our post-closing working capital adjustment dispute. The parties agreed to a post-closing working capital adjustment due to us of $496, with accrued interest of $44, totaling $540, and a reduction of the original $3,000 deferred purchase payment by such amount. This also had the effect of reducing our long-term debt by a like amount and $496 was deducted from our goodwill balance. The remaining deferred purchase price balance under the Subordinated Notes Payable: PeopleCube Acquisition Note then became $2,460.</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2014, we reached an agreement to settle all claims and dismiss all pending litigation with the sellers of PeopleCube. Under the settlement agreement, the parties agreed to dismiss the litigation and settle the remaining balance due of $2,460 on the Subordinated Notes Payable: PeopleCube Acquisition Note for $1,700. Separately, our insurance carrier agreed to pay us $500 in conjunction with the settlement. With the insurance proceeds and after offsetting any related litigation costs incurred in 2014, we recorded a net gain of $1,034 on the settlement in the first quarter of 2014. We paid this note in full in 2014. Finally, as part of the original purchase price in the Meeting Maker acquisition, we issued 255,000 shares of our common stock subject to a lockup that expired as to 125,000 shares in June 2013 and 130,000 shares in June 2014. This settlement also removed the lockup for the remaining 130,000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OTHER INTANGIBLE ASSETS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Asure accounted for its historical acquisitions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We recorded the amount exceeding the fair value of net assets acquired at the date of acquisition as goodwill. We recorded intangible assets apart from goodwill if the assets had contractual or other legal rights or if the assets could be separated and sold, transferred, licensed, rented or exchanged. Asure’s goodwill relates to the acquisitions of ADI and Legiant in 2011, the acquisition of PeopleCube in 2012 and the acquisitions of FotoPunch and Roomtag in 2014.</w:t>
      </w:r>
    </w:p>
    <w:p>
      <w:pPr>
        <w:spacing w:after="0" w:line="180" w:lineRule="exact"/>
        <w:rPr>
          <w:sz w:val="20"/>
          <w:szCs w:val="20"/>
          <w:color w:val="auto"/>
        </w:rPr>
      </w:pPr>
    </w:p>
    <w:p>
      <w:pPr>
        <w:jc w:val="both"/>
        <w:ind w:firstLine="700"/>
        <w:spacing w:after="0" w:line="259"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we review and evaluate our long-lived assets, including intangible assets with finite lives, for impairment whenever events or changes in circumstances indicate that we may not recover their net book value. We test goodwill for impairment on an annual basis in the fourth fiscal quarter of each year, and between annual tests, if indicators of potential impairment exist, using a fair-value-based approach. There has been no impairment of goodwill for the periods presented. We amortize intangible assets not considered to have an indefinite useful life using the</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straight-line method over their estimated period of benefit, which generally ranges from one to nine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annual changes in our goodwill:</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27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15,005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recognized upon acquisition of FotoPunch</w:t>
            </w:r>
          </w:p>
        </w:tc>
        <w:tc>
          <w:tcPr>
            <w:tcW w:w="2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 recognized upon acquisition of Roomtag</w:t>
            </w:r>
          </w:p>
        </w:tc>
        <w:tc>
          <w:tcPr>
            <w:tcW w:w="2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1,112</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exchange adjustment to goodwill</w:t>
            </w:r>
          </w:p>
        </w:tc>
        <w:tc>
          <w:tcPr>
            <w:tcW w:w="2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2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7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goodwill</w:t>
            </w:r>
          </w:p>
        </w:tc>
        <w:tc>
          <w:tcPr>
            <w:tcW w:w="2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(60)</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exchange adjustments to goodwill</w:t>
            </w:r>
          </w:p>
        </w:tc>
        <w:tc>
          <w:tcPr>
            <w:tcW w:w="2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4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2120" w:type="dxa"/>
            <w:vAlign w:val="bottom"/>
            <w:tcBorders>
              <w:top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17,436</w:t>
            </w:r>
          </w:p>
        </w:tc>
        <w:tc>
          <w:tcPr>
            <w:tcW w:w="700" w:type="dxa"/>
            <w:vAlign w:val="bottom"/>
            <w:tcBorders>
              <w:top w:val="single" w:sz="8" w:color="CCEEFF"/>
            </w:tcBorders>
          </w:tcPr>
          <w:p>
            <w:pPr>
              <w:spacing w:after="0"/>
              <w:rPr>
                <w:sz w:val="18"/>
                <w:szCs w:val="18"/>
                <w:color w:val="auto"/>
              </w:rPr>
            </w:pPr>
          </w:p>
        </w:tc>
        <w:tc>
          <w:tcPr>
            <w:tcW w:w="1440" w:type="dxa"/>
            <w:vAlign w:val="bottom"/>
          </w:tcPr>
          <w:p>
            <w:pPr>
              <w:spacing w:after="0"/>
              <w:rPr>
                <w:sz w:val="18"/>
                <w:szCs w:val="18"/>
                <w:color w:val="auto"/>
              </w:rPr>
            </w:pPr>
          </w:p>
        </w:tc>
      </w:tr>
      <w:tr>
        <w:trPr>
          <w:trHeight w:val="21"/>
        </w:trPr>
        <w:tc>
          <w:tcPr>
            <w:tcW w:w="14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601"/>
        </w:trPr>
        <w:tc>
          <w:tcPr>
            <w:tcW w:w="1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760" w:type="dxa"/>
            <w:vAlign w:val="bottom"/>
            <w:gridSpan w:val="2"/>
          </w:tcPr>
          <w:p>
            <w:pPr>
              <w:jc w:val="right"/>
              <w:ind w:right="2250"/>
              <w:spacing w:after="0"/>
              <w:rPr>
                <w:sz w:val="20"/>
                <w:szCs w:val="20"/>
                <w:color w:val="auto"/>
              </w:rPr>
            </w:pPr>
            <w:r>
              <w:rPr>
                <w:rFonts w:ascii="Times New Roman" w:cs="Times New Roman" w:eastAsia="Times New Roman" w:hAnsi="Times New Roman"/>
                <w:sz w:val="18"/>
                <w:szCs w:val="18"/>
                <w:color w:val="auto"/>
              </w:rPr>
              <w:t>F-15</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our intangible assets as of December 31, 2015 and 2014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12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Period (in Years)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00" w:type="dxa"/>
            <w:vAlign w:val="bottom"/>
          </w:tcPr>
          <w:p>
            <w:pPr>
              <w:spacing w:after="0"/>
              <w:rPr>
                <w:sz w:val="21"/>
                <w:szCs w:val="21"/>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6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7.6</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(8,959)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Reseller Relationships</w:t>
            </w:r>
          </w:p>
        </w:tc>
        <w:tc>
          <w:tcPr>
            <w:tcW w:w="16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Covenant not-to-compete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7.3</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18,602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(12,576)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12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Period (in Years)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00" w:type="dxa"/>
            <w:vAlign w:val="bottom"/>
          </w:tcPr>
          <w:p>
            <w:pPr>
              <w:spacing w:after="0"/>
              <w:rPr>
                <w:sz w:val="21"/>
                <w:szCs w:val="21"/>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6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7.6</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Reseller Relationships</w:t>
            </w:r>
          </w:p>
        </w:tc>
        <w:tc>
          <w:tcPr>
            <w:tcW w:w="16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Covenant not-to-compete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7.3</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18,607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(10,285)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 amortization expense using the straight-line method over the estimated useful lives of the intangible assets, as noted above. Amortization expenses were $1,866 and $1,999 for 2015 and 2014, respectively, included in Operating Expenses. Amortization expenses recorded in Cost of Sales were $425 and $360 for 2015 and 2014,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future estimated amortization expense relating to our intangible assets as of December 31,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Calendar Years</w:t>
            </w: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16"/>
        </w:trPr>
        <w:tc>
          <w:tcPr>
            <w:tcW w:w="2880" w:type="dxa"/>
            <w:vAlign w:val="bottom"/>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2140" w:type="dxa"/>
            <w:vAlign w:val="bottom"/>
            <w:tcBorders>
              <w:top w:val="single" w:sz="8" w:color="auto"/>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4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4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23"/>
        </w:trPr>
        <w:tc>
          <w:tcPr>
            <w:tcW w:w="288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57"/>
        </w:trPr>
        <w:tc>
          <w:tcPr>
            <w:tcW w:w="2880" w:type="dxa"/>
            <w:vAlign w:val="bottom"/>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27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6,026</w:t>
            </w:r>
          </w:p>
        </w:tc>
        <w:tc>
          <w:tcPr>
            <w:tcW w:w="140" w:type="dxa"/>
            <w:vAlign w:val="bottom"/>
            <w:shd w:val="clear" w:color="auto" w:fill="CCEEFF"/>
          </w:tcPr>
          <w:p>
            <w:pPr>
              <w:spacing w:after="0"/>
              <w:rPr>
                <w:sz w:val="22"/>
                <w:szCs w:val="22"/>
                <w:color w:val="auto"/>
              </w:rPr>
            </w:pPr>
          </w:p>
        </w:tc>
        <w:tc>
          <w:tcPr>
            <w:tcW w:w="2840" w:type="dxa"/>
            <w:vAlign w:val="bottom"/>
          </w:tcPr>
          <w:p>
            <w:pPr>
              <w:spacing w:after="0"/>
              <w:rPr>
                <w:sz w:val="22"/>
                <w:szCs w:val="22"/>
                <w:color w:val="auto"/>
              </w:rPr>
            </w:pPr>
          </w:p>
        </w:tc>
      </w:tr>
      <w:tr>
        <w:trPr>
          <w:trHeight w:val="601"/>
        </w:trPr>
        <w:tc>
          <w:tcPr>
            <w:tcW w:w="2880" w:type="dxa"/>
            <w:vAlign w:val="bottom"/>
          </w:tcPr>
          <w:p>
            <w:pPr>
              <w:spacing w:after="0"/>
              <w:rPr>
                <w:sz w:val="24"/>
                <w:szCs w:val="24"/>
                <w:color w:val="auto"/>
              </w:rPr>
            </w:pPr>
          </w:p>
        </w:tc>
        <w:tc>
          <w:tcPr>
            <w:tcW w:w="1920" w:type="dxa"/>
            <w:vAlign w:val="bottom"/>
            <w:tcBorders>
              <w:top w:val="single" w:sz="8" w:color="CCEEFF"/>
            </w:tcBorders>
          </w:tcPr>
          <w:p>
            <w:pPr>
              <w:spacing w:after="0"/>
              <w:rPr>
                <w:sz w:val="24"/>
                <w:szCs w:val="24"/>
                <w:color w:val="auto"/>
              </w:rPr>
            </w:pPr>
          </w:p>
        </w:tc>
        <w:tc>
          <w:tcPr>
            <w:tcW w:w="2260" w:type="dxa"/>
            <w:vAlign w:val="bottom"/>
            <w:tcBorders>
              <w:top w:val="single" w:sz="8" w:color="CCEEFF"/>
            </w:tcBorders>
            <w:gridSpan w:val="2"/>
          </w:tcPr>
          <w:p>
            <w:pPr>
              <w:ind w:left="740"/>
              <w:spacing w:after="0"/>
              <w:rPr>
                <w:sz w:val="20"/>
                <w:szCs w:val="20"/>
                <w:color w:val="auto"/>
              </w:rPr>
            </w:pPr>
            <w:r>
              <w:rPr>
                <w:rFonts w:ascii="Times New Roman" w:cs="Times New Roman" w:eastAsia="Times New Roman" w:hAnsi="Times New Roman"/>
                <w:sz w:val="18"/>
                <w:szCs w:val="18"/>
                <w:color w:val="auto"/>
              </w:rPr>
              <w:t>F-16</w:t>
            </w:r>
          </w:p>
        </w:tc>
        <w:tc>
          <w:tcPr>
            <w:tcW w:w="5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40" w:type="dxa"/>
            <w:vAlign w:val="bottom"/>
          </w:tcPr>
          <w:p>
            <w:pPr>
              <w:spacing w:after="0"/>
              <w:rPr>
                <w:sz w:val="24"/>
                <w:szCs w:val="24"/>
                <w:color w:val="auto"/>
              </w:rPr>
            </w:pPr>
          </w:p>
        </w:tc>
      </w:tr>
      <w:tr>
        <w:trPr>
          <w:trHeight w:val="118"/>
        </w:trPr>
        <w:tc>
          <w:tcPr>
            <w:tcW w:w="288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NOTES PAYABLE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outstanding debt as of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Stated Interest</w:t>
            </w: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20" w:type="dxa"/>
            <w:vAlign w:val="bottom"/>
          </w:tcPr>
          <w:p>
            <w:pPr>
              <w:spacing w:after="0"/>
              <w:rPr>
                <w:sz w:val="20"/>
                <w:szCs w:val="20"/>
                <w:color w:val="auto"/>
              </w:rPr>
            </w:pPr>
          </w:p>
        </w:tc>
        <w:tc>
          <w:tcPr>
            <w:tcW w:w="200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42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2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shd w:val="clear" w:color="auto" w:fill="000000"/>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Payable: Roomtag Acquisition Note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10/31/2016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  $</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 Wells Fargo</w:t>
            </w:r>
          </w:p>
        </w:tc>
        <w:tc>
          <w:tcPr>
            <w:tcW w:w="1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3/31/2019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13,687</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13,687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Short-term notes payable</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Long-term notes payable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12,656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14,381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60" w:type="dxa"/>
            <w:vAlign w:val="bottom"/>
            <w:gridSpan w:val="11"/>
          </w:tcPr>
          <w:p>
            <w:pPr>
              <w:jc w:val="right"/>
              <w:ind w:right="1140"/>
              <w:spacing w:after="0"/>
              <w:rPr>
                <w:sz w:val="20"/>
                <w:szCs w:val="20"/>
                <w:color w:val="auto"/>
              </w:rPr>
            </w:pPr>
            <w:r>
              <w:rPr>
                <w:rFonts w:ascii="Times New Roman" w:cs="Times New Roman" w:eastAsia="Times New Roman" w:hAnsi="Times New Roman"/>
                <w:sz w:val="18"/>
                <w:szCs w:val="18"/>
                <w:color w:val="auto"/>
              </w:rPr>
              <w:t>The following table summarizes the future principal payments related to our outstanding debt:</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20" w:type="dxa"/>
            <w:vAlign w:val="bottom"/>
            <w:gridSpan w:val="2"/>
          </w:tcPr>
          <w:p>
            <w:pPr>
              <w:ind w:left="28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Gross Amount</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vMerge w:val="restart"/>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900" w:type="dxa"/>
            <w:vAlign w:val="bottom"/>
            <w:gridSpan w:val="4"/>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40" w:type="dxa"/>
            <w:vAlign w:val="bottom"/>
            <w:tcBorders>
              <w:right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Borders>
              <w:right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Notes Payable</w:t>
            </w:r>
          </w:p>
        </w:tc>
        <w:tc>
          <w:tcPr>
            <w:tcW w:w="21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13,687</w:t>
            </w:r>
          </w:p>
        </w:tc>
        <w:tc>
          <w:tcPr>
            <w:tcW w:w="140" w:type="dxa"/>
            <w:vAlign w:val="bottom"/>
            <w:tcBorders>
              <w:right w:val="single" w:sz="8" w:color="CCEEFF"/>
            </w:tcBorders>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Notes Payable: Roomtag Acquisition Note</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2014, we acquired substantially all the assets of Roomtag. The aggregate consideration for the assets consisted of (i) $933 in cash, and (ii) an unsecured subordinated promissory note (“Note”) for $754. We funded the $933 cash payment with proceeds from our credit agreement with Wells Fargo. The Note bears interest at an annual rate of 0.36% and is payable on October 31, 2016. We recorded the Note at fair value using a discount rate of 5%, which resulted in an original issue discount of $73, which will accrete up the note to its aggregate principal amount over the course of the life of the loan using the effective interest method. This Note is subordinated to our obligations under the Term Loan discussed below.</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August 2015, we paid $722 to retire this Note in full, after applying a 5% discount.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 Wells Fargo</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2014, we entered into a Credit Agreement with Wells Fargo Bank, N.A., as administrative agent, and the lenders that are party thereto. We used the proceeds of the term loan to finance the repayment of all amounts outstanding under our loan agreement with Deerpath and the payment of certain fees, cost and expenses related to the Credit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Credit Agreement provides for a term loan in the amount of $15,000. The term loan will mature in March 2019. The outstanding principal amount of the term loan is payable as follows:</w:t>
      </w:r>
    </w:p>
    <w:p>
      <w:pPr>
        <w:spacing w:after="0" w:line="189" w:lineRule="exact"/>
        <w:rPr>
          <w:sz w:val="20"/>
          <w:szCs w:val="20"/>
          <w:color w:val="auto"/>
        </w:rPr>
      </w:pPr>
    </w:p>
    <w:p>
      <w:pPr>
        <w:ind w:left="1300" w:hanging="129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on June 30, 2014 and the last day of each fiscal quarter thereafter up to March 31, 2016;</w:t>
      </w:r>
    </w:p>
    <w:p>
      <w:pPr>
        <w:spacing w:after="0" w:line="27"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on June 30, 2016 and the last day of each fiscal quarter thereafter up to March 31, 2017; and</w:t>
      </w:r>
    </w:p>
    <w:p>
      <w:pPr>
        <w:spacing w:after="0" w:line="9" w:lineRule="exact"/>
        <w:rPr>
          <w:rFonts w:ascii="Times New Roman" w:cs="Times New Roman" w:eastAsia="Times New Roman" w:hAnsi="Times New Roman"/>
          <w:sz w:val="18"/>
          <w:szCs w:val="18"/>
          <w:color w:val="auto"/>
        </w:rPr>
      </w:pPr>
    </w:p>
    <w:p>
      <w:pPr>
        <w:ind w:left="1300" w:right="300" w:hanging="1292"/>
        <w:spacing w:after="0" w:line="261"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 on June 30, 2017 and the last day of each fiscal quarter thereafter, with a final payment of the remaining balance due on March 31, 2019</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Credit Agreement also provides for a revolving loan commitment in the aggregate amount of up to $3,000. The outstanding principal amount of the revolving loan is due and payable in March 2019. Additionally, the Credit Agreement provides for a $10,000 uncommitted incremental term loan facility to support permitted acquisitions. In July 2014, we borrowed $1,500 under the revolver, which was used to fund a portion of the acquisition cost of all of the issued and outstanding shares of common stock of FotoPunch, Inc. In August 2014, we borrowed $1,000 under the revolver which was used to fund a portion of the acquisition cost of substantially all the assets of Roomtag, LLC. We repaid the balance on the revolver in 2014, leaving a balance of $0 at December 31, 2014. As of December 31, 2015, $0 was outstanding and $3,000 was available for borrowing under the revolver.</w:t>
      </w:r>
    </w:p>
    <w:p>
      <w:pPr>
        <w:sectPr>
          <w:pgSz w:w="11900" w:h="16838" w:orient="portrait"/>
          <w:cols w:equalWidth="0" w:num="1">
            <w:col w:w="11420"/>
          </w:cols>
          <w:pgMar w:left="240" w:top="118"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 loan and revolving loan will bear interest, at our option, at (i) the greater of 1% or LIBOR, plus an applicable margin or (ii) a base rate (as defined in the Credit Agreement) plus an applicable margin. We have elected to use the LIBOR rate plus the applicable margin, which was has remained constant at 5% since the inception of the loan. Interest is payable quarterly and the margin varies based upon our leverage ratio. See table below of applicable margin rates as of December 31, 2015.</w:t>
      </w:r>
    </w:p>
    <w:p>
      <w:pPr>
        <w:spacing w:after="0" w:line="203"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Base Rate</w:t>
            </w: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LIBOR Rate</w:t>
            </w:r>
          </w:p>
        </w:tc>
      </w:tr>
      <w:tr>
        <w:trPr>
          <w:trHeight w:val="245"/>
        </w:trPr>
        <w:tc>
          <w:tcPr>
            <w:tcW w:w="20" w:type="dxa"/>
            <w:vAlign w:val="bottom"/>
          </w:tcPr>
          <w:p>
            <w:pPr>
              <w:spacing w:after="0"/>
              <w:rPr>
                <w:sz w:val="21"/>
                <w:szCs w:val="21"/>
                <w:color w:val="auto"/>
              </w:rPr>
            </w:pPr>
          </w:p>
        </w:tc>
        <w:tc>
          <w:tcPr>
            <w:tcW w:w="2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Total Leverage Ratio</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34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2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&gt; 2.75:1.0</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&lt; 2.75:1.0 but &gt; 2.25:1.0</w:t>
            </w:r>
          </w:p>
        </w:tc>
        <w:tc>
          <w:tcPr>
            <w:tcW w:w="1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 2.25:1.0</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discussed below, the Credit Agreement was amended in November 2015. See table below of applicable margin rates as of December 31, 2015.</w:t>
      </w:r>
    </w:p>
    <w:p>
      <w:pPr>
        <w:spacing w:after="0" w:line="248"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LIBOR Rate</w:t>
            </w:r>
          </w:p>
        </w:tc>
      </w:tr>
      <w:tr>
        <w:trPr>
          <w:trHeight w:val="245"/>
        </w:trPr>
        <w:tc>
          <w:tcPr>
            <w:tcW w:w="20" w:type="dxa"/>
            <w:vAlign w:val="bottom"/>
          </w:tcPr>
          <w:p>
            <w:pPr>
              <w:spacing w:after="0"/>
              <w:rPr>
                <w:sz w:val="21"/>
                <w:szCs w:val="21"/>
                <w:color w:val="auto"/>
              </w:rPr>
            </w:pPr>
          </w:p>
        </w:tc>
        <w:tc>
          <w:tcPr>
            <w:tcW w:w="2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 Leverage Ratio</w:t>
            </w:r>
          </w:p>
        </w:tc>
        <w:tc>
          <w:tcPr>
            <w:tcW w:w="100" w:type="dxa"/>
            <w:vAlign w:val="bottom"/>
          </w:tcPr>
          <w:p>
            <w:pPr>
              <w:spacing w:after="0"/>
              <w:rPr>
                <w:sz w:val="21"/>
                <w:szCs w:val="21"/>
                <w:color w:val="auto"/>
              </w:rPr>
            </w:pP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Base Rate Margin</w:t>
            </w:r>
          </w:p>
        </w:tc>
        <w:tc>
          <w:tcPr>
            <w:tcW w:w="300" w:type="dxa"/>
            <w:vAlign w:val="bottom"/>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2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&gt; 3.25:1.0</w:t>
            </w:r>
          </w:p>
        </w:tc>
        <w:tc>
          <w:tcPr>
            <w:tcW w:w="1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&lt; 3.25:1.0 but &gt; 2.75:1.0</w:t>
            </w:r>
          </w:p>
        </w:tc>
        <w:tc>
          <w:tcPr>
            <w:tcW w:w="1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 2.75:1.0 but &gt; 2.25:1.0</w:t>
            </w:r>
          </w:p>
        </w:tc>
        <w:tc>
          <w:tcPr>
            <w:tcW w:w="1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r>
      <w:tr>
        <w:trPr>
          <w:trHeight w:val="234"/>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&lt; 2.25:1.0</w:t>
            </w:r>
          </w:p>
        </w:tc>
        <w:tc>
          <w:tcPr>
            <w:tcW w:w="1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r>
    </w:tbl>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voluntarily prepay the principal amount outstanding under the revolving loan at any time without penalty or premium. However, we must pay a premium if we make a voluntary prepayment of outstanding principal under the term loan during the first two years following the closing date or if we are required to prepay outstanding principal under the Credit Agreement with proceeds resulting from certain asset sales or debt incurrence. The premium is 1% or 0.5% of the principal amount being prepaid depending on whether the prepayment occurs on or before the first anniversary of the closing date or subsequent to the first anniversary date through the second anniversary of the closing date. In addition, we are required to repay outstanding principal on an annual basis with 50% of excess cash flow, certain over advances, asset sale proceeds, debt proceeds, and proceeds from judgments and settlements. As of December 31, 2015, none of these payments were due.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Credit Agreement, we were required to maintain a fixed charge coverage ratio of not less than 1.5 to 1.0 beginning with the quarter ending June 30, 2014 and each calendar quarter thereafter, and a leverage ratio of not greater than 3.5 to 1.0 beginning with the quarter ending June 30, 2014 with the levels stepping down thereafter. We amended the Credit Agreement in August 2014, March 2015 and November 2015. The August 2014 amendment revised the leverage ratio beginning with the quarter ending September 30, 2014 to a leverage ratio of not greater than 3.6 to 1.0 with the levels stepping down thereafter. The March 2015 amendment authorized us to optionally prepay, subject to specified conditions, the Subordinated Note Payable to Roomtag and revised the leverage ratio beginning with the quarter ended March 31, 2015 to a leverage ratio of not greater than 3.5 to 1.0 with the levels stepping down thereafter. The November 2015 amendment increased the applicable margin relative to the LIBOR rate upon which we compute the interest payable. We agreed that if our leverage ratio is (a) less than or equal to 2.25:1, (b) greater than 2.25:1 but less than or equal to 2.75:1, (c) greater than 2.75:1 but less than or equal to 3.25:1 or (d) greater than 3.25:1, the applicable margin relative to the LIBOR rate would be 3.00, 3.50, 4.00 or 4.50 percentage points, respectively. We further agreed that until the leverage ratio testing period ending September 30, 2016, we will pay interest based on the 4.50 percentage point margin level.</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amended the Credit Agreement in March 2016. Under this amendment, we expanded our overall credit facility by $12,500 to $29,188. The amendment also changes the applicable margin rates for determining the interest rate payable on the loan and amended our leverage ratio requirements under the Credit Agreement. We have now agreed to a leverage ratio not to exceed 5.00:1 at March 31, 2016, stepping down to 2.25:1 at December 31, 2018. See Note 14- Subsequent Events for more information about the amendment.</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others, limitations with respect to debt, liens, fundamental changes, sale of assets, prepayment of debt, investments, dividends, and transactions with affiliates.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2015, we were in compliance with all covenants, with the exception of the leverage ratio and fixed charge coverage ratio, and all payments remain current. A covenant waiver related to the leverage ratio and fixed charge coverage ratio was received from the lender as of December 31, 2015. As a result of the waiver, we were in compliance with all covenant requirements as of December 31, 2015. We expect to be in compliance or be able to obtain compliance through debt repayments with the available cash on hand or as we expect to be generated from the ordinary course of operations over the next twelve months.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among others, payment defaults, covenant defaults, judgment defaults, bankruptcy and insolvency events, cross defaults to certain indebtedness, incorrect representations or warranties, and change of control. In some cases, the defaults are subject to customary notice and grace period provisions.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2014 and in connection with the Credit Agreement, we and our wholly-owned active subsidiaries entered into a Guaranty and Security Agreement with Wells Fargo Bank. Under the Guaranty and Security Agreement, we and each of our wholly-owned active subsidiaries have guaranteed all obligations under the Credit Agreement and granted a security interest in substantially all of our and our subsidiaries’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and related depreciable useful lives as of December 31, 2015 and 2014 are composed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23"/>
        </w:trPr>
        <w:tc>
          <w:tcPr>
            <w:tcW w:w="5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19"/>
                <w:szCs w:val="19"/>
                <w:color w:val="auto"/>
              </w:rPr>
            </w:pPr>
          </w:p>
        </w:tc>
      </w:tr>
      <w:tr>
        <w:trPr>
          <w:trHeight w:val="216"/>
        </w:trPr>
        <w:tc>
          <w:tcPr>
            <w:tcW w:w="5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3-5 years</w:t>
            </w:r>
          </w:p>
        </w:tc>
        <w:tc>
          <w:tcPr>
            <w:tcW w:w="7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5,928</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4,709</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 2-5 years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4,637</w:t>
            </w:r>
          </w:p>
        </w:tc>
        <w:tc>
          <w:tcPr>
            <w:tcW w:w="4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4,530</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support equipment: 2-4 years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696</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696</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Vehicle: 7 years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leases: lease term or life of the asset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 lease term or life of the improvement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2,163</w:t>
            </w:r>
          </w:p>
        </w:tc>
      </w:tr>
      <w:tr>
        <w:trPr>
          <w:trHeight w:val="27"/>
        </w:trPr>
        <w:tc>
          <w:tcPr>
            <w:tcW w:w="5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13,682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12,318</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(11,470)</w:t>
            </w:r>
          </w:p>
        </w:tc>
        <w:tc>
          <w:tcPr>
            <w:tcW w:w="4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(10,779)</w:t>
            </w:r>
          </w:p>
        </w:tc>
      </w:tr>
      <w:tr>
        <w:trPr>
          <w:trHeight w:val="27"/>
        </w:trPr>
        <w:tc>
          <w:tcPr>
            <w:tcW w:w="5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50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2,212</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1,539</w:t>
            </w:r>
          </w:p>
        </w:tc>
      </w:tr>
      <w:tr>
        <w:trPr>
          <w:trHeight w:val="20"/>
        </w:trPr>
        <w:tc>
          <w:tcPr>
            <w:tcW w:w="50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record the amortization of our capital leases as depreciation expense on our Consolidated Statements of Comprehensive Loss. Depreciation and amortization expenses relating to property and equipment were approximately $721 and $462 for 2015 and 2014,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 PROGRAM</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Pursuant to Asure’s stock repurchase plan, we may repurchase up to 450,000 shares of our common stock. We have repurchased a total of 384,000 shares for approximately $5,000 over the life of the plan. Management will periodically assess repurchasing additional shares, depending on our cash position, market conditions, financial covenants and other factors. While the program remains in place, we did not repurchase any shares during 2015 or 2014.</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AND STOCK OPTION PLANS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Asure has one active equity plan, the 2009 Equity Plan (the “2009 Plan”). The 2009 Plan provides for the issuance of non-qualified and incentive stock options to our employees and consultants. We generally grant stock options with exercise prices greater than or equal to the fair market value at the time of grant. The options generally vest over three to four years and are exercisable for a period of five to ten years beginning with date of grant. Our shareholders approved an amendment to the 2009 Plan in June 2014 to increase the number of shares reserved under the plan from 1,200,000 to 1,400,000. We have a total of 640,000 options granted and outstanding pursuant to the 2009 Plan as of December 31, 2015.</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use the Black-Scholes option valuation model to value employee stock awards. We estimate stock price volatility based upon our historical volatility. Estimated option life and forfeiture rate assumptions are derived from historical data. For stock-based compensation awards with graded vesting, we recognize compensation expense using the straight-line amortization method.</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compensation expense recognized in the Consolidated Statements of Comprehensive Loss for stock based awards was $409 and $226 for 2015 and 2014,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assumptions used to develop their fair value for 2015 and 2014:</w:t>
      </w:r>
    </w:p>
    <w:p>
      <w:pPr>
        <w:spacing w:after="0" w:line="22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80" w:type="dxa"/>
            <w:vAlign w:val="bottom"/>
          </w:tcPr>
          <w:p>
            <w:pPr>
              <w:spacing w:after="0"/>
              <w:rPr>
                <w:sz w:val="20"/>
                <w:szCs w:val="20"/>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0.59</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0.63</w:t>
            </w: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3.61</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3.63</w:t>
            </w:r>
          </w:p>
        </w:tc>
      </w:tr>
      <w:tr>
        <w:trPr>
          <w:trHeight w:val="234"/>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2015, Asure had reserved shares of common stock for future issuance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640,000</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Options available for future grant</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452,000</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w:t>
            </w:r>
          </w:p>
        </w:tc>
        <w:tc>
          <w:tcPr>
            <w:tcW w:w="1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1,092,000</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67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The following table summarizes activity under all Plans during 2015 and 2014.</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36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 2015</w:t>
            </w:r>
          </w:p>
        </w:tc>
        <w:tc>
          <w:tcPr>
            <w:tcW w:w="29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 2014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1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15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gridSpan w:val="2"/>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the beginning of the year</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735,000</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795,000</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257,000</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(112,000)</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Outstanding at the end of the year</w:t>
            </w:r>
          </w:p>
        </w:tc>
        <w:tc>
          <w:tcPr>
            <w:tcW w:w="1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640,000</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735,000</w:t>
            </w:r>
          </w:p>
        </w:tc>
        <w:tc>
          <w:tcPr>
            <w:tcW w:w="1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the end of the year</w:t>
            </w: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324,000</w:t>
            </w:r>
          </w:p>
        </w:tc>
        <w:tc>
          <w:tcPr>
            <w:tcW w:w="24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492,000</w:t>
            </w:r>
          </w:p>
        </w:tc>
        <w:tc>
          <w:tcPr>
            <w:tcW w:w="12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 during the year</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outstanding and exercisable options and their exercise prices as of December 31,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0" w:type="dxa"/>
            <w:vAlign w:val="bottom"/>
            <w:gridSpan w:val="5"/>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AVERAGE</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EXERCISABLE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OUTSTANDING AT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200" w:type="dxa"/>
            <w:vAlign w:val="bottom"/>
          </w:tcPr>
          <w:p>
            <w:pPr>
              <w:spacing w:after="0"/>
              <w:rPr>
                <w:sz w:val="18"/>
                <w:szCs w:val="18"/>
                <w:color w:val="auto"/>
              </w:rPr>
            </w:pPr>
          </w:p>
        </w:tc>
        <w:tc>
          <w:tcPr>
            <w:tcW w:w="17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AND VESTED AT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RANGE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00" w:type="dxa"/>
            <w:vAlign w:val="bottom"/>
          </w:tcPr>
          <w:p>
            <w:pPr>
              <w:spacing w:after="0"/>
              <w:rPr>
                <w:sz w:val="18"/>
                <w:szCs w:val="18"/>
                <w:color w:val="auto"/>
              </w:rPr>
            </w:pPr>
          </w:p>
        </w:tc>
        <w:tc>
          <w:tcPr>
            <w:tcW w:w="17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AVERAGE</w:t>
            </w:r>
          </w:p>
        </w:tc>
        <w:tc>
          <w:tcPr>
            <w:tcW w:w="12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AVERAGE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EXERCISE PRICES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9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20" w:type="dxa"/>
            <w:vAlign w:val="bottom"/>
          </w:tcPr>
          <w:p>
            <w:pPr>
              <w:spacing w:after="0"/>
              <w:rPr>
                <w:sz w:val="21"/>
                <w:szCs w:val="21"/>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1.68 -- 2.11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9,900</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2.33 -- 2.33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0.71</w:t>
            </w:r>
          </w:p>
        </w:tc>
        <w:tc>
          <w:tcPr>
            <w:tcW w:w="20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4.27 -- 6.42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xml:space="preserve">1.68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6.42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4.40</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324,000</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intrinsic value of options outstanding and options exercisable is $74 and $464, respectively, at December 31, 2015.</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DEFINED CONTRIBUTION PLAN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sponsor a defined contribution 401(k) plan that is available to substantially all employees. Our Board of Directors may amend or terminate the plan at any time. We provided matching contributions to the plan of $179 and $195 in 2015 and 2014,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REVENUE CONCENTRATION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2015 and 2014, there were no customers who individually represented 10% or more of consolidated revenue.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NET LOSS PER SHARE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 for 2015 and 2014.</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excluded stock options to acquire 640,000 and 735,000 shares for 2015 and 2014, respectively, from the computation of the dilutive stock options because the effect of including the stock options would have been anti-dilutive.</w:t>
      </w:r>
    </w:p>
    <w:p>
      <w:pPr>
        <w:spacing w:after="0" w:line="15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548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548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120" w:type="dxa"/>
            <w:vAlign w:val="bottom"/>
          </w:tcPr>
          <w:p>
            <w:pPr>
              <w:spacing w:after="0"/>
              <w:rPr>
                <w:sz w:val="21"/>
                <w:szCs w:val="2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(1,757)</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6,176,000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6,002,000</w:t>
            </w:r>
          </w:p>
        </w:tc>
        <w:tc>
          <w:tcPr>
            <w:tcW w:w="120" w:type="dxa"/>
            <w:vAlign w:val="bottom"/>
          </w:tcPr>
          <w:p>
            <w:pPr>
              <w:spacing w:after="0"/>
              <w:rPr>
                <w:sz w:val="18"/>
                <w:szCs w:val="18"/>
                <w:color w:val="auto"/>
              </w:rPr>
            </w:pPr>
          </w:p>
        </w:tc>
      </w:tr>
      <w:tr>
        <w:trPr>
          <w:trHeight w:val="223"/>
        </w:trPr>
        <w:tc>
          <w:tcPr>
            <w:tcW w:w="54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r>
      <w:tr>
        <w:trPr>
          <w:trHeight w:val="27"/>
        </w:trPr>
        <w:tc>
          <w:tcPr>
            <w:tcW w:w="548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pre-tax loss for the years ended December 31, 2015 and 2014 are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546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21"/>
                <w:szCs w:val="2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86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(1,404)</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8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5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provision for income taxes attributable to continuing operations for the years ended December 31, 2015 and 2014 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6"/>
        </w:trPr>
        <w:tc>
          <w:tcPr>
            <w:tcW w:w="14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9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38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9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2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w:t>
            </w:r>
          </w:p>
        </w:tc>
        <w:tc>
          <w:tcPr>
            <w:tcW w:w="1440" w:type="dxa"/>
            <w:vAlign w:val="bottom"/>
          </w:tcPr>
          <w:p>
            <w:pPr>
              <w:spacing w:after="0"/>
              <w:rPr>
                <w:sz w:val="18"/>
                <w:szCs w:val="18"/>
                <w:color w:val="auto"/>
              </w:rPr>
            </w:pPr>
          </w:p>
        </w:tc>
      </w:tr>
      <w:tr>
        <w:trPr>
          <w:trHeight w:val="21"/>
        </w:trPr>
        <w:tc>
          <w:tcPr>
            <w:tcW w:w="1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574"/>
        </w:trPr>
        <w:tc>
          <w:tcPr>
            <w:tcW w:w="1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860" w:type="dxa"/>
            <w:vAlign w:val="bottom"/>
            <w:gridSpan w:val="2"/>
          </w:tcPr>
          <w:p>
            <w:pPr>
              <w:jc w:val="right"/>
              <w:ind w:right="1980"/>
              <w:spacing w:after="0"/>
              <w:rPr>
                <w:sz w:val="20"/>
                <w:szCs w:val="20"/>
                <w:color w:val="auto"/>
              </w:rPr>
            </w:pPr>
            <w:r>
              <w:rPr>
                <w:rFonts w:ascii="Times New Roman" w:cs="Times New Roman" w:eastAsia="Times New Roman" w:hAnsi="Times New Roman"/>
                <w:sz w:val="18"/>
                <w:szCs w:val="18"/>
                <w:color w:val="auto"/>
              </w:rPr>
              <w:t>F-21</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our deferred taxes at December 31, 2015 and 2014 are as follows:</w:t>
      </w:r>
    </w:p>
    <w:p>
      <w:pPr>
        <w:spacing w:after="0" w:line="172"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4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21"/>
                <w:szCs w:val="21"/>
                <w:color w:val="auto"/>
              </w:rPr>
            </w:pPr>
          </w:p>
        </w:tc>
      </w:tr>
      <w:tr>
        <w:trPr>
          <w:trHeight w:val="198"/>
        </w:trPr>
        <w:tc>
          <w:tcPr>
            <w:tcW w:w="45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DEFERRED TAX ASSETS:</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Current deferred tax assets</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11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382</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745</w:t>
            </w:r>
          </w:p>
        </w:tc>
      </w:tr>
      <w:tr>
        <w:trPr>
          <w:trHeight w:val="216"/>
        </w:trPr>
        <w:tc>
          <w:tcPr>
            <w:tcW w:w="4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4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4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893</w:t>
            </w:r>
          </w:p>
        </w:tc>
      </w:tr>
      <w:tr>
        <w:trPr>
          <w:trHeight w:val="223"/>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Valuation allowance</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(847)</w:t>
            </w:r>
          </w:p>
        </w:tc>
      </w:tr>
      <w:tr>
        <w:trPr>
          <w:trHeight w:val="223"/>
        </w:trPr>
        <w:tc>
          <w:tcPr>
            <w:tcW w:w="45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current deferred tax assets</w:t>
            </w:r>
          </w:p>
        </w:tc>
        <w:tc>
          <w:tcPr>
            <w:tcW w:w="82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top w:val="single" w:sz="8" w:color="CCEEFF"/>
            </w:tcBorders>
          </w:tcPr>
          <w:p>
            <w:pPr>
              <w:spacing w:after="0"/>
              <w:rPr>
                <w:sz w:val="19"/>
                <w:szCs w:val="19"/>
                <w:color w:val="auto"/>
              </w:rPr>
            </w:pPr>
          </w:p>
        </w:tc>
      </w:tr>
      <w:tr>
        <w:trPr>
          <w:trHeight w:val="216"/>
        </w:trPr>
        <w:tc>
          <w:tcPr>
            <w:tcW w:w="4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operating losses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40,389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40,196</w:t>
            </w:r>
          </w:p>
        </w:tc>
      </w:tr>
      <w:tr>
        <w:trPr>
          <w:trHeight w:val="216"/>
        </w:trPr>
        <w:tc>
          <w:tcPr>
            <w:tcW w:w="4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4,486</w:t>
            </w:r>
          </w:p>
        </w:tc>
      </w:tr>
      <w:tr>
        <w:trPr>
          <w:trHeight w:val="216"/>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Minimum tax credit carryforwards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4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Acquired intangibles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6"/>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Fixed assets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4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 based compensation</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4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45,256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44,858</w:t>
            </w:r>
          </w:p>
        </w:tc>
      </w:tr>
      <w:tr>
        <w:trPr>
          <w:trHeight w:val="223"/>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Valuation allowance</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(44,521)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(43,960)</w:t>
            </w:r>
          </w:p>
        </w:tc>
      </w:tr>
      <w:tr>
        <w:trPr>
          <w:trHeight w:val="223"/>
        </w:trPr>
        <w:tc>
          <w:tcPr>
            <w:tcW w:w="45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noncurrent deferred tax assets</w:t>
            </w:r>
          </w:p>
        </w:tc>
        <w:tc>
          <w:tcPr>
            <w:tcW w:w="82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40" w:type="dxa"/>
            <w:vAlign w:val="bottom"/>
            <w:tcBorders>
              <w:top w:val="single" w:sz="8" w:color="CCEEFF"/>
            </w:tcBorders>
          </w:tcPr>
          <w:p>
            <w:pPr>
              <w:spacing w:after="0"/>
              <w:rPr>
                <w:sz w:val="19"/>
                <w:szCs w:val="19"/>
                <w:color w:val="auto"/>
              </w:rPr>
            </w:pPr>
          </w:p>
        </w:tc>
      </w:tr>
      <w:tr>
        <w:trPr>
          <w:trHeight w:val="216"/>
        </w:trPr>
        <w:tc>
          <w:tcPr>
            <w:tcW w:w="4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Acquired intangibles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4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Fixed assets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Goodwill</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(452)</w:t>
            </w:r>
          </w:p>
        </w:tc>
      </w:tr>
      <w:tr>
        <w:trPr>
          <w:trHeight w:val="27"/>
        </w:trPr>
        <w:tc>
          <w:tcPr>
            <w:tcW w:w="45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deferred tax liabilities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(1,400)</w:t>
            </w:r>
          </w:p>
        </w:tc>
      </w:tr>
      <w:tr>
        <w:trPr>
          <w:trHeight w:val="216"/>
        </w:trPr>
        <w:tc>
          <w:tcPr>
            <w:tcW w:w="4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current deferred tax asset (liability)</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r>
      <w:tr>
        <w:trPr>
          <w:trHeight w:val="21"/>
        </w:trPr>
        <w:tc>
          <w:tcPr>
            <w:tcW w:w="4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noncurrent deferred tax liability</w:t>
            </w: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(669)</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(502)</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December 31, 2015, we had federal net operating loss carryforwards of approximately $117,748, research and development credit carryforwards of approximately $5,068 and alternative minimum tax credit carryforwards of approximately $161. The net operating loss and research and development credit carryforwards will expire in varying amounts from 2018 through 2035, if not utilized. Minimum tax credit carryforwards carry forward indefinitely.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various acquisitions by us in prior years, we may be subject to a substantial annual limitation in the utilization of the net operating losses and credit carryforwards due to the “change in ownership” provisions of the Internal Revenue Code of 1986. The annual limitation may result in the expiration of net operating losses before utilization.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Due to the uncertainty surrounding the timing of realizing the benefits of its favorable tax attributes in future tax returns, we have placed a valuation allowance against our net deferred tax assets, exclusive of goodwill. During 2015, the valuation allowance increased by approximately $207 due primarily to operations. Approximately $8,251 of the valuation allowance relates to tax benefits for stock option deductions included in our net operating loss carryforward which we will allocate, if and when realized, directly to contributed capital to the extent the benefits exceed amounts attributable to book deferred compensation expense.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consider undistributed earnings of our foreign subsidiaries as permanently reinvested and, accordingly, we have made no provision for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or state income taxes thereon.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provision for income taxes attributable to continuing operations differs from the expected tax expense (benefit) amount computed by applying the statutory federal income tax rate of 34% to income before income taxes as a result of the following:</w:t>
      </w:r>
    </w:p>
    <w:p>
      <w:pPr>
        <w:spacing w:after="0" w:line="158"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4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For 2015</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2014</w:t>
            </w:r>
          </w:p>
        </w:tc>
      </w:tr>
      <w:tr>
        <w:trPr>
          <w:trHeight w:val="216"/>
        </w:trPr>
        <w:tc>
          <w:tcPr>
            <w:tcW w:w="4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at statutory rate</w:t>
            </w:r>
          </w:p>
        </w:tc>
        <w:tc>
          <w:tcPr>
            <w:tcW w:w="236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(521)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items and other</w:t>
            </w:r>
          </w:p>
        </w:tc>
        <w:tc>
          <w:tcPr>
            <w:tcW w:w="1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Credit carryforwards</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income taxed at different rates</w:t>
            </w:r>
          </w:p>
        </w:tc>
        <w:tc>
          <w:tcPr>
            <w:tcW w:w="1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Tax carryforwards not benefitted</w:t>
            </w:r>
          </w:p>
        </w:tc>
        <w:tc>
          <w:tcPr>
            <w:tcW w:w="13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Pr>
          <w:p>
            <w:pPr>
              <w:spacing w:after="0"/>
              <w:rPr>
                <w:sz w:val="19"/>
                <w:szCs w:val="19"/>
                <w:color w:val="auto"/>
              </w:rPr>
            </w:pPr>
          </w:p>
        </w:tc>
      </w:tr>
      <w:tr>
        <w:trPr>
          <w:trHeight w:val="237"/>
        </w:trPr>
        <w:tc>
          <w:tcPr>
            <w:tcW w:w="4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4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total amount of unrecognized tax benefits as of January 1, 2015 was approximately $1,288. The reconciliation of our unrecognized tax benefits at the beginning and end of the year is as follows: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2015</w:t>
            </w: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r>
      <w:tr>
        <w:trPr>
          <w:trHeight w:val="223"/>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0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5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40" w:type="dxa"/>
            <w:vAlign w:val="bottom"/>
            <w:tcBorders>
              <w:top w:val="single" w:sz="8" w:color="CCEEFF"/>
            </w:tcBorders>
          </w:tcPr>
          <w:p>
            <w:pPr>
              <w:spacing w:after="0"/>
              <w:rPr>
                <w:sz w:val="18"/>
                <w:szCs w:val="18"/>
                <w:color w:val="auto"/>
              </w:rPr>
            </w:pPr>
          </w:p>
        </w:tc>
      </w:tr>
      <w:tr>
        <w:trPr>
          <w:trHeight w:val="21"/>
        </w:trPr>
        <w:tc>
          <w:tcPr>
            <w:tcW w:w="7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2015, we had $1,290 of unrecognized tax benefits, which would affect the effective tax rate if recognized. The Company’s assessment of its unrecognized tax benefits is subject to change as a function of the Company’s financial statement audit.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practice is to recognize interest and/or penalties related to income tax matters in income tax expense. During 2015, we recognized $2 of interest and penalties in our income tax expense.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Asure files tax returns in the U.S. federal jurisdiction and in several state and foreign jurisdictions. We are no longer subject to U.S. federal income tax examinations for years ending before December 31, 2012 and are no longer subject to state and local or foreign income tax examinations by tax authorities for years ending before December 31, 2011. Asure is not currently under audit for federal, state or any foreign jurisdictions.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 COMMITMENTS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Asure’s future minimum lease payments under all operating and capital leases as of December 31, 2015 are as follows: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9"/>
              </w:rPr>
              <w:t>OPERATING</w:t>
            </w:r>
          </w:p>
        </w:tc>
        <w:tc>
          <w:tcPr>
            <w:tcW w:w="100" w:type="dxa"/>
            <w:vAlign w:val="bottom"/>
          </w:tcPr>
          <w:p>
            <w:pPr>
              <w:spacing w:after="0"/>
              <w:rPr>
                <w:sz w:val="18"/>
                <w:szCs w:val="18"/>
                <w:color w:val="auto"/>
              </w:rPr>
            </w:pPr>
          </w:p>
        </w:tc>
        <w:tc>
          <w:tcPr>
            <w:tcW w:w="214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CAPITAL</w:t>
            </w:r>
          </w:p>
        </w:tc>
      </w:tr>
      <w:tr>
        <w:trPr>
          <w:trHeight w:val="216"/>
        </w:trPr>
        <w:tc>
          <w:tcPr>
            <w:tcW w:w="2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00" w:type="dxa"/>
            <w:vAlign w:val="bottom"/>
          </w:tcPr>
          <w:p>
            <w:pPr>
              <w:spacing w:after="0"/>
              <w:rPr>
                <w:sz w:val="18"/>
                <w:szCs w:val="18"/>
                <w:color w:val="auto"/>
              </w:rPr>
            </w:pPr>
          </w:p>
        </w:tc>
        <w:tc>
          <w:tcPr>
            <w:tcW w:w="214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45"/>
        </w:trPr>
        <w:tc>
          <w:tcPr>
            <w:tcW w:w="2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CALENDAR YEAR ENDING:</w:t>
            </w:r>
          </w:p>
        </w:tc>
        <w:tc>
          <w:tcPr>
            <w:tcW w:w="700" w:type="dxa"/>
            <w:vAlign w:val="bottom"/>
          </w:tcPr>
          <w:p>
            <w:pPr>
              <w:spacing w:after="0"/>
              <w:rPr>
                <w:sz w:val="21"/>
                <w:szCs w:val="21"/>
                <w:color w:val="auto"/>
              </w:rPr>
            </w:pPr>
          </w:p>
        </w:tc>
        <w:tc>
          <w:tcPr>
            <w:tcW w:w="154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OBLIGATIONS</w:t>
            </w:r>
          </w:p>
        </w:tc>
        <w:tc>
          <w:tcPr>
            <w:tcW w:w="14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OBLIGATIONS</w:t>
            </w:r>
          </w:p>
        </w:tc>
        <w:tc>
          <w:tcPr>
            <w:tcW w:w="700" w:type="dxa"/>
            <w:vAlign w:val="bottom"/>
          </w:tcPr>
          <w:p>
            <w:pPr>
              <w:spacing w:after="0"/>
              <w:rPr>
                <w:sz w:val="21"/>
                <w:szCs w:val="21"/>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c>
          <w:tcPr>
            <w:tcW w:w="21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21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1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1,311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327</w:t>
            </w:r>
          </w:p>
        </w:tc>
      </w:tr>
      <w:tr>
        <w:trPr>
          <w:trHeight w:val="21"/>
        </w:trPr>
        <w:tc>
          <w:tcPr>
            <w:tcW w:w="2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obligations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2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 of obligations</w:t>
            </w: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2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Total rent expense under all operating leases for 2015 and 2014 were $724 and $624, respectively. For 2015 and 2014, approximately 23.4% and 47.2%, respectively, of our total operating lease obligations relates to our corporate office facility at Wild Basin in Austin, Texas.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Through the stock and asset purchases described below, we have entered into the human resource management, payroll processing and benefits administration services businesses, which we intend to integrate into our existing AsureForce® product 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Purchase Agreement</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March 2016, we acquired all of the issued and outstanding shares of common stock (the “Shares”) of Mangrove Employer Services, Inc. of Tampa, Florida (“Mangrove”). Pursuant to this stock purchase, we acquired the payroll division of Mangrove, which is engaged in the human resource management and payroll processing businesses. The aggregate consideration for the Shares consisted of (i) $11,348,000 in cash, a portion of which was used to pay certain obligations of Mangrove and (ii) a secured subordinated promissory note (the “Note”) in the principal amount of $6.0 million, subject to adjustment as provided in the Stock Purchase Agreement. We funded the cash payment with proceeds from our credit agreement with Wells Fargo. The Note bears interest at an annual rate of 3.50% and matures in March 2018, with the first installment of principal due in March 2017 and the second installment of principal due in March 2018. The Stock Purchase Agreement contains certain customary representations, warranties, indemnities and covenants.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Purchase Agreement</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2016, we also acquired substantially all the assets of Mangrove COBRAsource Inc., a benefits administration services business which then was a wholly owned subsidiary of Mangrove. The aggregate consideration for the assets was $1,036,000, which Mangrove COBRAsource applied to payoff certain loan balances. The Asset Purchase Agreement contains certain customary representations, warranties, indemnities and covenants.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Credit Agreement</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amended our Credit Agreement in March 2016. Under this amendment, we expanded our overall credit facility by $12,500 to $29,188. This includes a $26,188 term facility which is due March 21, 2019 and a $3,000 revolving credit facility. The amendment also changed the applicable margin rates for determining the interest rate payable on the loan as follows:</w:t>
      </w:r>
    </w:p>
    <w:p>
      <w:pPr>
        <w:spacing w:after="0" w:line="199"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Base Rate</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LIBOR Rate</w:t>
            </w:r>
          </w:p>
        </w:tc>
      </w:tr>
      <w:tr>
        <w:trPr>
          <w:trHeight w:val="245"/>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Leverage Ratio</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34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220" w:type="dxa"/>
            <w:vAlign w:val="bottom"/>
          </w:tcPr>
          <w:p>
            <w:pPr>
              <w:spacing w:after="0"/>
              <w:rPr>
                <w:sz w:val="21"/>
                <w:szCs w:val="21"/>
                <w:color w:val="auto"/>
              </w:rPr>
            </w:pPr>
          </w:p>
        </w:tc>
      </w:tr>
      <w:tr>
        <w:trPr>
          <w:trHeight w:val="216"/>
        </w:trPr>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2.75:1</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&gt; 2.75:1 but ≤ 3.25:1</w:t>
            </w:r>
          </w:p>
        </w:tc>
        <w:tc>
          <w:tcPr>
            <w:tcW w:w="1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3.25:1</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4.50%</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w:t>
            </w: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principal amount of the term loan is payable as follows:</w:t>
      </w:r>
    </w:p>
    <w:p>
      <w:pPr>
        <w:spacing w:after="0" w:line="27" w:lineRule="exact"/>
        <w:rPr>
          <w:sz w:val="20"/>
          <w:szCs w:val="20"/>
          <w:color w:val="auto"/>
        </w:rPr>
      </w:pPr>
    </w:p>
    <w:p>
      <w:pPr>
        <w:ind w:left="140" w:hanging="132"/>
        <w:spacing w:after="0"/>
        <w:tabs>
          <w:tab w:leader="none" w:pos="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$491 on June 30, 2016 and the last day of each fiscal quarter thereafter up to March 31, 2017; and</w:t>
      </w:r>
    </w:p>
    <w:p>
      <w:pPr>
        <w:spacing w:after="0" w:line="9"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$655 on June 30, 2017 and the last day of each fiscal quarter thereafter.</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Including the March 2016 amendment, the following table summarizes the maximum future principal payments related to our outstanding debt:</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20" w:type="dxa"/>
            <w:vAlign w:val="bottom"/>
          </w:tcPr>
          <w:p>
            <w:pPr>
              <w:spacing w:after="0"/>
              <w:rPr>
                <w:sz w:val="21"/>
                <w:szCs w:val="2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1,473</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2,455</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2,619</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22,641</w:t>
            </w:r>
          </w:p>
        </w:tc>
      </w:tr>
      <w:tr>
        <w:trPr>
          <w:trHeight w:val="27"/>
        </w:trPr>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Notes Payable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29,188</w:t>
            </w:r>
          </w:p>
        </w:tc>
      </w:tr>
      <w:tr>
        <w:trPr>
          <w:trHeight w:val="20"/>
        </w:trPr>
        <w:tc>
          <w:tcPr>
            <w:tcW w:w="6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amendment also changed our leverage ratio requirements under the Credit Agreement. We have now agreed to a leverage ratio not to exceed 5.00:1 at March 31, 2016, stepping down to 2.25:1 at December 31, 2018.</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229" w:lineRule="exact"/>
        <w:rPr>
          <w:sz w:val="20"/>
          <w:szCs w:val="20"/>
          <w:color w:val="auto"/>
        </w:rPr>
      </w:pPr>
    </w:p>
    <w:p>
      <w:pPr>
        <w:spacing w:after="0"/>
        <w:tabs>
          <w:tab w:leader="none" w:pos="5700" w:val="left"/>
          <w:tab w:leader="none" w:pos="6500" w:val="left"/>
        </w:tabs>
        <w:rPr>
          <w:sz w:val="20"/>
          <w:szCs w:val="20"/>
          <w:color w:val="auto"/>
        </w:rPr>
      </w:pPr>
      <w:r>
        <w:rPr>
          <w:rFonts w:ascii="Times New Roman" w:cs="Times New Roman" w:eastAsia="Times New Roman" w:hAnsi="Times New Roman"/>
          <w:sz w:val="18"/>
          <w:szCs w:val="18"/>
          <w:color w:val="auto"/>
        </w:rPr>
        <w:t>March 30,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17145</wp:posOffset>
            </wp:positionV>
            <wp:extent cx="252984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Patrick Goepel</w:t>
      </w:r>
    </w:p>
    <w:p>
      <w:pPr>
        <w:spacing w:after="0" w:line="2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30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5260" w:type="dxa"/>
            <w:vAlign w:val="bottom"/>
          </w:tcPr>
          <w:p>
            <w:pPr>
              <w:ind w:left="24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7"/>
        </w:trPr>
        <w:tc>
          <w:tcPr>
            <w:tcW w:w="1000" w:type="dxa"/>
            <w:vAlign w:val="bottom"/>
            <w:shd w:val="clear" w:color="auto" w:fill="000000"/>
          </w:tcPr>
          <w:p>
            <w:pPr>
              <w:spacing w:after="0"/>
              <w:rPr>
                <w:sz w:val="2"/>
                <w:szCs w:val="2"/>
                <w:color w:val="auto"/>
              </w:rPr>
            </w:pPr>
          </w:p>
        </w:tc>
        <w:tc>
          <w:tcPr>
            <w:tcW w:w="3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r>
      <w:tr>
        <w:trPr>
          <w:trHeight w:val="439"/>
        </w:trPr>
        <w:tc>
          <w:tcPr>
            <w:tcW w:w="1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PATRICK GOEPEL</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30, 2016</w:t>
            </w:r>
          </w:p>
        </w:tc>
      </w:tr>
      <w:tr>
        <w:trPr>
          <w:trHeight w:val="198"/>
        </w:trPr>
        <w:tc>
          <w:tcPr>
            <w:tcW w:w="1000" w:type="dxa"/>
            <w:vAlign w:val="bottom"/>
          </w:tcPr>
          <w:p>
            <w:pPr>
              <w:spacing w:after="0"/>
              <w:rPr>
                <w:sz w:val="17"/>
                <w:szCs w:val="17"/>
                <w:color w:val="auto"/>
              </w:rPr>
            </w:pPr>
          </w:p>
        </w:tc>
        <w:tc>
          <w:tcPr>
            <w:tcW w:w="3020" w:type="dxa"/>
            <w:vAlign w:val="bottom"/>
          </w:tcPr>
          <w:p>
            <w:pPr>
              <w:ind w:left="400"/>
              <w:spacing w:after="0" w:line="198" w:lineRule="exact"/>
              <w:rPr>
                <w:sz w:val="20"/>
                <w:szCs w:val="20"/>
                <w:color w:val="auto"/>
              </w:rPr>
            </w:pPr>
            <w:r>
              <w:rPr>
                <w:rFonts w:ascii="Times New Roman" w:cs="Times New Roman" w:eastAsia="Times New Roman" w:hAnsi="Times New Roman"/>
                <w:sz w:val="18"/>
                <w:szCs w:val="18"/>
                <w:color w:val="auto"/>
              </w:rPr>
              <w:t>Patrick Goepel</w:t>
            </w:r>
          </w:p>
        </w:tc>
        <w:tc>
          <w:tcPr>
            <w:tcW w:w="54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34"/>
        </w:trPr>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Director</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9"/>
        </w:trPr>
        <w:tc>
          <w:tcPr>
            <w:tcW w:w="1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BRAD WOLFE</w:t>
            </w:r>
          </w:p>
        </w:tc>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30, 2016</w:t>
            </w:r>
          </w:p>
        </w:tc>
      </w:tr>
      <w:tr>
        <w:trPr>
          <w:trHeight w:val="234"/>
        </w:trPr>
        <w:tc>
          <w:tcPr>
            <w:tcW w:w="1000" w:type="dxa"/>
            <w:vAlign w:val="bottom"/>
          </w:tcPr>
          <w:p>
            <w:pPr>
              <w:spacing w:after="0"/>
              <w:rPr>
                <w:sz w:val="20"/>
                <w:szCs w:val="20"/>
                <w:color w:val="auto"/>
              </w:rPr>
            </w:pPr>
          </w:p>
        </w:tc>
        <w:tc>
          <w:tcPr>
            <w:tcW w:w="3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Brad Wolfe</w:t>
            </w:r>
          </w:p>
        </w:tc>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21"/>
        </w:trPr>
        <w:tc>
          <w:tcPr>
            <w:tcW w:w="1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DAVID SANDBERG</w:t>
            </w:r>
          </w:p>
        </w:tc>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Chairman of the Board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30, 2016</w:t>
            </w:r>
          </w:p>
        </w:tc>
      </w:tr>
      <w:tr>
        <w:trPr>
          <w:trHeight w:val="234"/>
        </w:trPr>
        <w:tc>
          <w:tcPr>
            <w:tcW w:w="1000" w:type="dxa"/>
            <w:vAlign w:val="bottom"/>
          </w:tcPr>
          <w:p>
            <w:pPr>
              <w:spacing w:after="0"/>
              <w:rPr>
                <w:sz w:val="20"/>
                <w:szCs w:val="20"/>
                <w:color w:val="auto"/>
              </w:rPr>
            </w:pPr>
          </w:p>
        </w:tc>
        <w:tc>
          <w:tcPr>
            <w:tcW w:w="3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David Sandberg</w:t>
            </w: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21"/>
        </w:trPr>
        <w:tc>
          <w:tcPr>
            <w:tcW w:w="1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ADRIAN PERTIERRA</w:t>
            </w:r>
          </w:p>
        </w:tc>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30, 2016</w:t>
            </w:r>
          </w:p>
        </w:tc>
      </w:tr>
      <w:tr>
        <w:trPr>
          <w:trHeight w:val="234"/>
        </w:trPr>
        <w:tc>
          <w:tcPr>
            <w:tcW w:w="1000" w:type="dxa"/>
            <w:vAlign w:val="bottom"/>
          </w:tcPr>
          <w:p>
            <w:pPr>
              <w:spacing w:after="0"/>
              <w:rPr>
                <w:sz w:val="20"/>
                <w:szCs w:val="20"/>
                <w:color w:val="auto"/>
              </w:rPr>
            </w:pPr>
          </w:p>
        </w:tc>
        <w:tc>
          <w:tcPr>
            <w:tcW w:w="3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Adrian Pertierra</w:t>
            </w: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21"/>
        </w:trPr>
        <w:tc>
          <w:tcPr>
            <w:tcW w:w="1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J. RANDALL WATERFIELD</w:t>
            </w:r>
          </w:p>
        </w:tc>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30, 2016</w:t>
            </w:r>
          </w:p>
        </w:tc>
      </w:tr>
      <w:tr>
        <w:trPr>
          <w:trHeight w:val="234"/>
        </w:trPr>
        <w:tc>
          <w:tcPr>
            <w:tcW w:w="1000" w:type="dxa"/>
            <w:vAlign w:val="bottom"/>
          </w:tcPr>
          <w:p>
            <w:pPr>
              <w:spacing w:after="0"/>
              <w:rPr>
                <w:sz w:val="20"/>
                <w:szCs w:val="20"/>
                <w:color w:val="auto"/>
              </w:rPr>
            </w:pPr>
          </w:p>
        </w:tc>
        <w:tc>
          <w:tcPr>
            <w:tcW w:w="3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 Randall Waterfield</w:t>
            </w: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21"/>
        </w:trPr>
        <w:tc>
          <w:tcPr>
            <w:tcW w:w="1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MATTHEW BEHRENT</w:t>
            </w:r>
          </w:p>
        </w:tc>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30, 2016</w:t>
            </w:r>
          </w:p>
        </w:tc>
      </w:tr>
      <w:tr>
        <w:trPr>
          <w:trHeight w:val="234"/>
        </w:trPr>
        <w:tc>
          <w:tcPr>
            <w:tcW w:w="1000" w:type="dxa"/>
            <w:vAlign w:val="bottom"/>
          </w:tcPr>
          <w:p>
            <w:pPr>
              <w:spacing w:after="0"/>
              <w:rPr>
                <w:sz w:val="20"/>
                <w:szCs w:val="20"/>
                <w:color w:val="auto"/>
              </w:rPr>
            </w:pPr>
          </w:p>
        </w:tc>
        <w:tc>
          <w:tcPr>
            <w:tcW w:w="3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Matthew Behrent</w:t>
            </w: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589"/>
        </w:trPr>
        <w:tc>
          <w:tcPr>
            <w:tcW w:w="1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480" w:type="dxa"/>
            <w:vAlign w:val="bottom"/>
            <w:gridSpan w:val="2"/>
          </w:tcPr>
          <w:p>
            <w:pPr>
              <w:jc w:val="right"/>
              <w:ind w:right="361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8"/>
        </w:trPr>
        <w:tc>
          <w:tcPr>
            <w:tcW w:w="100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10120" w:type="dxa"/>
            <w:vAlign w:val="bottom"/>
          </w:tcPr>
          <w:p>
            <w:pPr>
              <w:spacing w:after="0"/>
              <w:rPr>
                <w:sz w:val="13"/>
                <w:szCs w:val="13"/>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012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10"/>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r>
      <w:tr>
        <w:trPr>
          <w:trHeight w:val="245"/>
        </w:trPr>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20" w:type="dxa"/>
            <w:vAlign w:val="bottom"/>
            <w:tcBorders>
              <w:bottom w:val="single" w:sz="8" w:color="auto"/>
            </w:tcBorders>
          </w:tcPr>
          <w:p>
            <w:pPr>
              <w:spacing w:after="0"/>
              <w:rPr>
                <w:sz w:val="21"/>
                <w:szCs w:val="2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0"/>
                <w:szCs w:val="20"/>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 Purchase Agreement dated October 1, 2011 by and among Asure Software, Inc., ADI Software, LLC and ADI Time, LLC (1)</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 Purchase Agreement dated December 14, 2011 by and among Asure Software, Inc., ADI Legiant, LLC and WG Ross Corp. (2)</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Stock Purchase Agreement dated July 1, 2012 between Meeting maker Holding B.V. and PeopleCube Holding B.V. and Asure Software,</w:t>
            </w:r>
          </w:p>
        </w:tc>
      </w:tr>
      <w:tr>
        <w:trPr>
          <w:trHeight w:val="234"/>
        </w:trPr>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 (3)</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Code Purchase and Perpetual License Agreement dated October 9, 2012 between Asure Software, Inc. and FotoPunch, Inc. (4)</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Purchase Agreement, dated March 18, 2016, by and among Asure Software, Inc., Mangrove Employer Services, Inc., the Persons</w:t>
            </w:r>
          </w:p>
        </w:tc>
      </w:tr>
      <w:tr>
        <w:trPr>
          <w:trHeight w:val="234"/>
        </w:trPr>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listed thereto, and Richard S. Cangemi, as Stockholder Representative (21)</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Restated Certificate of Incorporation (5)</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Certificate of Amendment to the Restated Certificate of Incorporation (6)</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(Second) Certificate of Amendment to the Restated Certificate of Incorporation (7)</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and Restated Bylaws (8)</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Specimen Certificate for the Common Stock (9)</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and Restated Rights Agreement, dated as of October 28, 2009 between Asure Software, Inc. and American Stock Transfer &amp;</w:t>
            </w:r>
          </w:p>
        </w:tc>
      </w:tr>
      <w:tr>
        <w:trPr>
          <w:trHeight w:val="234"/>
        </w:trPr>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Trust Company (10)</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and Restated Certificate of Designation of Series A Junior Participating Preferred Stock (10)</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Rights Certificate (10)</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9% Subordinated Convertible Promissory Note (1)</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15% Subordinated Promissory Note (1)</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Securities Purchase Agreement for 9% Subordinated Convertible Promissory Note (1)</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Securities Purchase Agreement for 15% Subordinated Promissory Note (1)</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Registration Rights Agreement (1)</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and Restated Registration Rights Agreement dated March 10, 2012 (11)</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Agreement with respect to the Amended and Restated 9% Convertible Promissory Notes (11)</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Promissory Note dated October 2011 issued in connection with acquisition of certain assets from ADI Time, LLC (2)</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Letter Agreement from Patrick Goepel relating to forfeiture of option rights (2)</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Option Agreement for Patrick Goepel (2)</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Option Agreement for Steve Rodriguez (2)</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Restricted Stock Plan, effective May 23, 2006 (12)</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24"/>
                <w:szCs w:val="24"/>
                <w:color w:val="auto"/>
              </w:rPr>
            </w:pPr>
          </w:p>
        </w:tc>
        <w:tc>
          <w:tcPr>
            <w:tcW w:w="10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2009 Equity Plan, amended as of June 26, 2012 (13)</w:t>
            </w: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4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53"/>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10.3</w:t>
            </w:r>
          </w:p>
        </w:tc>
        <w:tc>
          <w:tcPr>
            <w:tcW w:w="56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Amendment No. 3 to 2009 Equity Plan (13)</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Option Agreement under the 2009 Equity Plan (13)</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6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Stock Purchase Agreement dated September 25,2009 with Patrick Goepel (14)</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6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Amended and Restated Employment Agreement dated July 2, 2011 with Patrick Goepel (2)</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6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Employment Letter with Steve Rodriguez, dated as of August 15, 2011 (2)</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6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Credit Agreement between Asure Software, Inc. and JPMorgan Chase Bank, N.A. (1)</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6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Fourth Amendment to Lease Agreement with WB One &amp; Two LTD (15)</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56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Lease Agreement to Premises located at 200 Crossings Boulevard, Warwick, Rhode Island (2)</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56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Sixth Amendment to Lease Agreement with Wild Basin I &amp; II Investors, LP (2)</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6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First Amendment to Loan Agreement effective as of December 31, 2012 by and among Asure Software Inc., ADI Software, LLC, Asure</w:t>
            </w:r>
          </w:p>
        </w:tc>
      </w:tr>
      <w:tr>
        <w:trPr>
          <w:trHeight w:val="234"/>
        </w:trPr>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Legiant, LLC Meeting Maker - United States, Inc. and Deerpath Funding, LP (16)</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6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Common Stock Purchase Agreement dated as of May 30, 2013 (17)</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6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Second Amendment to Loan Agreement effective as of March 31, 2013 by and among Asure Software Inc., ADI Software, LLC, Asure</w:t>
            </w:r>
          </w:p>
        </w:tc>
      </w:tr>
      <w:tr>
        <w:trPr>
          <w:trHeight w:val="234"/>
        </w:trPr>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Legiant, LLC Meeting Maker - United States, Inc. and Deerpath Funding, LP (18)</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6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Third Amendment to Loan Agreement effective as of September 30, 2013 by and among Asure Software Inc., ADI Software, LLC,</w:t>
            </w:r>
          </w:p>
        </w:tc>
      </w:tr>
      <w:tr>
        <w:trPr>
          <w:trHeight w:val="234"/>
        </w:trPr>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Asure Legiant, LLC Meeting Maker - United States, Inc. and Deerpath Funding, LP (19)</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6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Credit Agreement by and among Wells Fargo Bank, National Association, as Administrative Agent, the Lenders that are parties Hereto</w:t>
            </w:r>
          </w:p>
        </w:tc>
      </w:tr>
      <w:tr>
        <w:trPr>
          <w:trHeight w:val="234"/>
        </w:trPr>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as the Lenders, and Asure Software, Inc., as Borrower, Dated as of March 20, 2014 (20)</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6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Guaranty and Security Agreement between Asure Software, Inc. and Wells Fargo Bank, National Association, dated March 20,</w:t>
            </w:r>
          </w:p>
        </w:tc>
      </w:tr>
      <w:tr>
        <w:trPr>
          <w:trHeight w:val="234"/>
        </w:trPr>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2014 (20)</w:t>
            </w:r>
          </w:p>
        </w:tc>
        <w:tc>
          <w:tcPr>
            <w:tcW w:w="2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6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Asset Purchase Agreement dated March 18, 2016 by and between Mangrove COBRAsource, Inc. and Asure COBRAsource, LLC (21)</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6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Amendment Number Five to Credit Agreement, dated as of March 21, 2016, by and among Wells Fargo Bank, National Association, as</w:t>
            </w:r>
          </w:p>
        </w:tc>
      </w:tr>
      <w:tr>
        <w:trPr>
          <w:trHeight w:val="234"/>
        </w:trPr>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administrative agent for the Lenders, each Lender party hereto, and Asure Software, Inc. (21)</w:t>
            </w: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60" w:type="dxa"/>
            <w:vAlign w:val="bottom"/>
          </w:tcPr>
          <w:p>
            <w:pPr>
              <w:spacing w:after="0"/>
              <w:rPr>
                <w:sz w:val="24"/>
                <w:szCs w:val="24"/>
                <w:color w:val="auto"/>
              </w:rPr>
            </w:pPr>
          </w:p>
        </w:tc>
        <w:tc>
          <w:tcPr>
            <w:tcW w:w="9840" w:type="dxa"/>
            <w:vAlign w:val="bottom"/>
            <w:gridSpan w:val="7"/>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Secured Subordinated Promissory Note, dated March 18, 2016, by and among Asure Software, Inc., Richard S. Cangemi, as</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Stockholder Representative and attorney-in-fact for Richard S. Cangemi and Paul D. Zugay, as Principal Shareholders*</w:t>
              </w:r>
            </w:hyperlink>
          </w:p>
        </w:tc>
        <w:tc>
          <w:tcPr>
            <w:tcW w:w="1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Code of Business Conduct and Ethics (8)</w:t>
            </w: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spacing w:after="0"/>
              <w:rPr>
                <w:sz w:val="24"/>
                <w:szCs w:val="24"/>
                <w:color w:val="auto"/>
              </w:rPr>
            </w:pPr>
          </w:p>
        </w:tc>
        <w:tc>
          <w:tcPr>
            <w:tcW w:w="9840" w:type="dxa"/>
            <w:vAlign w:val="bottom"/>
            <w:gridSpan w:val="7"/>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Subsidiaries of the Company*</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60" w:type="dxa"/>
            <w:vAlign w:val="bottom"/>
          </w:tcPr>
          <w:p>
            <w:pPr>
              <w:spacing w:after="0"/>
              <w:rPr>
                <w:sz w:val="24"/>
                <w:szCs w:val="24"/>
                <w:color w:val="auto"/>
              </w:rPr>
            </w:pPr>
          </w:p>
        </w:tc>
        <w:tc>
          <w:tcPr>
            <w:tcW w:w="9840" w:type="dxa"/>
            <w:vAlign w:val="bottom"/>
            <w:gridSpan w:val="7"/>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Consent of Ernst &amp; Young LLP*</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60" w:type="dxa"/>
            <w:vAlign w:val="bottom"/>
          </w:tcPr>
          <w:p>
            <w:pPr>
              <w:spacing w:after="0"/>
              <w:rPr>
                <w:sz w:val="24"/>
                <w:szCs w:val="24"/>
                <w:color w:val="auto"/>
              </w:rPr>
            </w:pPr>
          </w:p>
        </w:tc>
        <w:tc>
          <w:tcPr>
            <w:tcW w:w="9840" w:type="dxa"/>
            <w:vAlign w:val="bottom"/>
            <w:gridSpan w:val="7"/>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Certification pursuant to 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20" w:type="dxa"/>
            <w:vAlign w:val="bottom"/>
            <w:gridSpan w:val="3"/>
            <w:shd w:val="clear" w:color="auto" w:fill="0000EE"/>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60" w:type="dxa"/>
            <w:vAlign w:val="bottom"/>
          </w:tcPr>
          <w:p>
            <w:pPr>
              <w:spacing w:after="0"/>
              <w:rPr>
                <w:sz w:val="24"/>
                <w:szCs w:val="24"/>
                <w:color w:val="auto"/>
              </w:rPr>
            </w:pPr>
          </w:p>
        </w:tc>
        <w:tc>
          <w:tcPr>
            <w:tcW w:w="9840" w:type="dxa"/>
            <w:vAlign w:val="bottom"/>
            <w:gridSpan w:val="7"/>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Certification pursuant to 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20" w:type="dxa"/>
            <w:vAlign w:val="bottom"/>
            <w:gridSpan w:val="3"/>
            <w:shd w:val="clear" w:color="auto" w:fill="0000EE"/>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60" w:type="dxa"/>
            <w:vAlign w:val="bottom"/>
          </w:tcPr>
          <w:p>
            <w:pPr>
              <w:spacing w:after="0"/>
              <w:rPr>
                <w:sz w:val="24"/>
                <w:szCs w:val="24"/>
                <w:color w:val="auto"/>
              </w:rPr>
            </w:pPr>
          </w:p>
        </w:tc>
        <w:tc>
          <w:tcPr>
            <w:tcW w:w="98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Certification pursuant to 18 U.S.C. Section 1350, as adopted pursuant to Section 906 of the Sarbanes-Oxley Act of 2002 (furnished, not</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w:anchor="page69">
              <w:r>
                <w:rPr>
                  <w:rFonts w:ascii="Times New Roman" w:cs="Times New Roman" w:eastAsia="Times New Roman" w:hAnsi="Times New Roman"/>
                  <w:sz w:val="18"/>
                  <w:szCs w:val="18"/>
                  <w:color w:val="0000EE"/>
                  <w:w w:val="95"/>
                </w:rPr>
                <w:t>filed)*</w:t>
              </w:r>
            </w:hyperlink>
          </w:p>
        </w:tc>
        <w:tc>
          <w:tcPr>
            <w:tcW w:w="9360" w:type="dxa"/>
            <w:vAlign w:val="bottom"/>
            <w:gridSpan w:val="6"/>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60" w:type="dxa"/>
            <w:vAlign w:val="bottom"/>
          </w:tcPr>
          <w:p>
            <w:pPr>
              <w:spacing w:after="0"/>
              <w:rPr>
                <w:sz w:val="24"/>
                <w:szCs w:val="24"/>
                <w:color w:val="auto"/>
              </w:rPr>
            </w:pPr>
          </w:p>
        </w:tc>
        <w:tc>
          <w:tcPr>
            <w:tcW w:w="98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Certification pursuant to 18 U.S.C. Section 1350, as adopted pursuant to Section 906 of the Sarbanes-Oxley Act of 2002 (furnished, not</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w:anchor="page71">
              <w:r>
                <w:rPr>
                  <w:rFonts w:ascii="Times New Roman" w:cs="Times New Roman" w:eastAsia="Times New Roman" w:hAnsi="Times New Roman"/>
                  <w:sz w:val="18"/>
                  <w:szCs w:val="18"/>
                  <w:color w:val="0000EE"/>
                  <w:w w:val="95"/>
                </w:rPr>
                <w:t>filed)*</w:t>
              </w:r>
            </w:hyperlink>
          </w:p>
        </w:tc>
        <w:tc>
          <w:tcPr>
            <w:tcW w:w="9360" w:type="dxa"/>
            <w:vAlign w:val="bottom"/>
            <w:gridSpan w:val="6"/>
          </w:tcPr>
          <w:p>
            <w:pPr>
              <w:spacing w:after="0"/>
              <w:rPr>
                <w:sz w:val="17"/>
                <w:szCs w:val="17"/>
                <w:color w:val="auto"/>
              </w:rPr>
            </w:pPr>
          </w:p>
        </w:tc>
      </w:tr>
    </w:tbl>
    <w:p>
      <w:pPr>
        <w:spacing w:after="0" w:line="225" w:lineRule="exact"/>
        <w:rPr>
          <w:sz w:val="20"/>
          <w:szCs w:val="20"/>
          <w:color w:val="auto"/>
        </w:rPr>
      </w:pPr>
    </w:p>
    <w:p>
      <w:pPr>
        <w:jc w:val="both"/>
        <w:ind w:left="1580" w:hanging="1572"/>
        <w:spacing w:after="0" w:line="266" w:lineRule="auto"/>
        <w:tabs>
          <w:tab w:leader="none" w:pos="1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Asure Software, Inc.’s Annual Report on Form 10-K for the year ended December 31, 2015, formatted in XBRL (Extensible Business Reporting Language): (1) the Consolidated Balance Sheets, (2) the Consolidated Statements of Comprehensive Loss, (3) the Consolidated Statements of Cash Flows, and (4) Notes to Consolidated Financial Statements.</w:t>
      </w:r>
    </w:p>
    <w:p>
      <w:pPr>
        <w:sectPr>
          <w:pgSz w:w="11900" w:h="16838" w:orient="portrait"/>
          <w:cols w:equalWidth="0" w:num="1">
            <w:col w:w="11420"/>
          </w:cols>
          <w:pgMar w:left="240" w:top="114" w:right="239" w:bottom="1440"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7" w:lineRule="exact"/>
        <w:rPr>
          <w:sz w:val="20"/>
          <w:szCs w:val="20"/>
          <w:color w:val="auto"/>
        </w:rPr>
      </w:pPr>
    </w:p>
    <w:p>
      <w:pPr>
        <w:ind w:left="6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Quarterly Report on Form 10-Q for the three months ended September 30, 2011 filed with the SEC on November 14, 2011.</w:t>
      </w:r>
    </w:p>
    <w:p>
      <w:pPr>
        <w:spacing w:after="0" w:line="188"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Annual Report on Form 10-K for the year ended December 31, 2011 filed with the SEC on March 30, 2012.</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with the SEC on July 6, 2012.</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with the SEC on October 15, 2012.</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Quarterly Report on Form 10-Q for the three months ended October 31, 2004 filed with the SEC on December 15, 2004.</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with the SEC on December 29, 2009.</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C to the Company’s 2012 Proxy Statement filed with the SEC on May 23, 2012.</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with the SEC on September 27, 2012.</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4.1 to the Company’s Registration Statement on Form S-3 filed with the SEC on December 13, 2012.</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with the SEC on October 28, 2009.</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with the SEC on March 12, 2012.</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Quarterly Report on Form 10-Q for the three months ended April 30, 2006 filed with the SEC on June 14, 2006.</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2013 Proxy Statement filed with the SEC on April 30, 2013.</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with the SEC on September 28, 2009.</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Quarterly Report on Form 10-Q for the three months ended March 31, 2010 filed with the SEC on May 17, 2010.</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Annual Report on Form 10-K for the year ended December 31, 2012 filed with the SEC on April 1, 2013.</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with the SEC on June 5, 2013.</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with the SEC on August 7, 2013</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with the SEC on October 2, 2013</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with the SEC on March 25, 2014</w:t>
      </w:r>
    </w:p>
    <w:p>
      <w:pPr>
        <w:spacing w:after="0" w:line="252" w:lineRule="exact"/>
        <w:rPr>
          <w:rFonts w:ascii="Times New Roman" w:cs="Times New Roman" w:eastAsia="Times New Roman" w:hAnsi="Times New Roman"/>
          <w:sz w:val="18"/>
          <w:szCs w:val="18"/>
          <w:color w:val="auto"/>
        </w:rPr>
      </w:pPr>
    </w:p>
    <w:p>
      <w:pPr>
        <w:ind w:left="660" w:right="2680" w:hanging="652"/>
        <w:spacing w:after="0" w:line="56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with the SEC on March 21, 2016 *Filed herewith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ind w:left="10200"/>
        <w:spacing w:after="0"/>
        <w:rPr>
          <w:sz w:val="20"/>
          <w:szCs w:val="20"/>
          <w:color w:val="auto"/>
        </w:rPr>
      </w:pPr>
      <w:r>
        <w:rPr>
          <w:rFonts w:ascii="Times New Roman" w:cs="Times New Roman" w:eastAsia="Times New Roman" w:hAnsi="Times New Roman"/>
          <w:sz w:val="17"/>
          <w:szCs w:val="17"/>
          <w:b w:val="1"/>
          <w:bCs w:val="1"/>
          <w:color w:val="auto"/>
        </w:rPr>
        <w:t>EXHIBIT 10.22</w:t>
      </w:r>
    </w:p>
    <w:p>
      <w:pPr>
        <w:spacing w:after="0" w:line="2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NOTE AND THE RIGHTS AND OBLIGATIONS EVIDENCED HEREBY ARE SUBORDINATE IN THE MANNER AND TO THE EXTENT SET FORTH IN THAT CERTAIN SUBORDINATION AGREEMENT (AS DEFINED BELOW) AND SUBJECT TO CERTAIN SET-OFF PROVISIONS SET FORTH HEREIN AND IN THAT CERTAIN PURCHASE AGREEMENT (AS DEFINED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SUBORDINATED PROMISSORY NOTE</w:t>
      </w:r>
    </w:p>
    <w:p>
      <w:pPr>
        <w:spacing w:after="0" w:line="256" w:lineRule="exact"/>
        <w:rPr>
          <w:sz w:val="20"/>
          <w:szCs w:val="20"/>
          <w:color w:val="auto"/>
        </w:rPr>
      </w:pPr>
    </w:p>
    <w:p>
      <w:pPr>
        <w:spacing w:after="0"/>
        <w:tabs>
          <w:tab w:leader="none" w:pos="10260" w:val="left"/>
        </w:tabs>
        <w:rPr>
          <w:sz w:val="20"/>
          <w:szCs w:val="20"/>
          <w:color w:val="auto"/>
        </w:rPr>
      </w:pPr>
      <w:r>
        <w:rPr>
          <w:rFonts w:ascii="Times New Roman" w:cs="Times New Roman" w:eastAsia="Times New Roman" w:hAnsi="Times New Roman"/>
          <w:sz w:val="18"/>
          <w:szCs w:val="18"/>
          <w:color w:val="auto"/>
        </w:rPr>
        <w:t>$6,000,000.00</w:t>
      </w:r>
      <w:r>
        <w:rPr>
          <w:sz w:val="20"/>
          <w:szCs w:val="20"/>
          <w:color w:val="auto"/>
        </w:rPr>
        <w:tab/>
      </w:r>
      <w:r>
        <w:rPr>
          <w:rFonts w:ascii="Times New Roman" w:cs="Times New Roman" w:eastAsia="Times New Roman" w:hAnsi="Times New Roman"/>
          <w:sz w:val="17"/>
          <w:szCs w:val="17"/>
          <w:color w:val="auto"/>
        </w:rPr>
        <w:t>March 18, 2016</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FOR VALUE RECEIVED</w:t>
      </w:r>
      <w:r>
        <w:rPr>
          <w:rFonts w:ascii="Times New Roman" w:cs="Times New Roman" w:eastAsia="Times New Roman" w:hAnsi="Times New Roman"/>
          <w:sz w:val="18"/>
          <w:szCs w:val="18"/>
          <w:color w:val="auto"/>
        </w:rPr>
        <w:t>, the undersigned, Asure Software, Inc., a Delaware corporation (the “</w:t>
      </w:r>
      <w:r>
        <w:rPr>
          <w:rFonts w:ascii="Times New Roman" w:cs="Times New Roman" w:eastAsia="Times New Roman" w:hAnsi="Times New Roman"/>
          <w:sz w:val="18"/>
          <w:szCs w:val="18"/>
          <w:b w:val="1"/>
          <w:bCs w:val="1"/>
          <w:u w:val="single" w:color="auto"/>
          <w:color w:val="auto"/>
        </w:rPr>
        <w:t>Maker</w:t>
      </w:r>
      <w:r>
        <w:rPr>
          <w:rFonts w:ascii="Times New Roman" w:cs="Times New Roman" w:eastAsia="Times New Roman" w:hAnsi="Times New Roman"/>
          <w:sz w:val="18"/>
          <w:szCs w:val="18"/>
          <w:color w:val="auto"/>
        </w:rPr>
        <w:t>”), hereby promises to pay to the order of Richard 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Cangemi, as Stockholder Representative and attorney-in-fact for Richard S. Cangemi and Paul D. Zugay, as Principal Shareholders, the principal amount of Six Million and 00/100 Dollars ($6,000,000.00) (the “</w:t>
      </w:r>
      <w:r>
        <w:rPr>
          <w:rFonts w:ascii="Times New Roman" w:cs="Times New Roman" w:eastAsia="Times New Roman" w:hAnsi="Times New Roman"/>
          <w:sz w:val="18"/>
          <w:szCs w:val="18"/>
          <w:b w:val="1"/>
          <w:bCs w:val="1"/>
          <w:u w:val="single" w:color="auto"/>
          <w:color w:val="auto"/>
        </w:rPr>
        <w:t>Original Principal Amount</w:t>
      </w:r>
      <w:r>
        <w:rPr>
          <w:rFonts w:ascii="Times New Roman" w:cs="Times New Roman" w:eastAsia="Times New Roman" w:hAnsi="Times New Roman"/>
          <w:sz w:val="18"/>
          <w:szCs w:val="18"/>
          <w:color w:val="auto"/>
        </w:rPr>
        <w:t>”), subject to adjustment as provided hereunder, together with interest on the unpaid principal balance at an annual rate equal to 3.5%, under the terms set forth in this Subordinated Promissory Note (the “</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Note has been executed and delivered by the Maker pursuant to the terms of the Stock Purchase Agreement (the “</w:t>
      </w:r>
      <w:r>
        <w:rPr>
          <w:rFonts w:ascii="Times New Roman" w:cs="Times New Roman" w:eastAsia="Times New Roman" w:hAnsi="Times New Roman"/>
          <w:sz w:val="18"/>
          <w:szCs w:val="18"/>
          <w:b w:val="1"/>
          <w:bCs w:val="1"/>
          <w:u w:val="single" w:color="auto"/>
          <w:color w:val="auto"/>
        </w:rPr>
        <w:t>Purchase Agreement</w:t>
      </w:r>
      <w:r>
        <w:rPr>
          <w:rFonts w:ascii="Times New Roman" w:cs="Times New Roman" w:eastAsia="Times New Roman" w:hAnsi="Times New Roman"/>
          <w:sz w:val="18"/>
          <w:szCs w:val="18"/>
          <w:color w:val="auto"/>
        </w:rPr>
        <w:t xml:space="preserve">”), dated as of March 18, 2016, by and among the Maker, Mangrove Employer Services, Inc., the persons listed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thereto, and Richard S. Cangemi, as Stockholder Representative. This Note is the “Promissory Note” defined in Article I of the Purchase Agreement. Capitalized terms used herein but not otherwise defined shall have the respective meanings attributed thereto in the Purchase Agreement.</w:t>
      </w:r>
    </w:p>
    <w:p>
      <w:pPr>
        <w:spacing w:after="0" w:line="204" w:lineRule="exact"/>
        <w:rPr>
          <w:sz w:val="20"/>
          <w:szCs w:val="20"/>
          <w:color w:val="auto"/>
        </w:rPr>
      </w:pPr>
    </w:p>
    <w:p>
      <w:pPr>
        <w:ind w:firstLine="8"/>
        <w:spacing w:after="0" w:line="286" w:lineRule="auto"/>
        <w:tabs>
          <w:tab w:leader="none" w:pos="89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 to Principal Amount</w:t>
      </w:r>
      <w:r>
        <w:rPr>
          <w:rFonts w:ascii="Times New Roman" w:cs="Times New Roman" w:eastAsia="Times New Roman" w:hAnsi="Times New Roman"/>
          <w:sz w:val="18"/>
          <w:szCs w:val="18"/>
          <w:color w:val="auto"/>
        </w:rPr>
        <w:t>. The Original Principal Amount shall be adjusted as follows, subject to decrease by any amount of set-off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7:</w:t>
      </w:r>
    </w:p>
    <w:p>
      <w:pPr>
        <w:spacing w:after="0" w:line="183" w:lineRule="exact"/>
        <w:rPr>
          <w:rFonts w:ascii="Times New Roman" w:cs="Times New Roman" w:eastAsia="Times New Roman" w:hAnsi="Times New Roman"/>
          <w:sz w:val="18"/>
          <w:szCs w:val="18"/>
          <w:b w:val="1"/>
          <w:bCs w:val="1"/>
          <w:color w:val="auto"/>
        </w:rPr>
      </w:pPr>
    </w:p>
    <w:p>
      <w:pPr>
        <w:ind w:firstLine="656"/>
        <w:spacing w:after="0" w:line="284" w:lineRule="auto"/>
        <w:tabs>
          <w:tab w:leader="none" w:pos="155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Original Principal Amount shall be </w:t>
      </w:r>
      <w:r>
        <w:rPr>
          <w:rFonts w:ascii="Times New Roman" w:cs="Times New Roman" w:eastAsia="Times New Roman" w:hAnsi="Times New Roman"/>
          <w:sz w:val="18"/>
          <w:szCs w:val="18"/>
          <w:i w:val="1"/>
          <w:iCs w:val="1"/>
          <w:color w:val="auto"/>
        </w:rPr>
        <w:t>reduced</w:t>
      </w:r>
      <w:r>
        <w:rPr>
          <w:rFonts w:ascii="Times New Roman" w:cs="Times New Roman" w:eastAsia="Times New Roman" w:hAnsi="Times New Roman"/>
          <w:sz w:val="18"/>
          <w:szCs w:val="18"/>
          <w:color w:val="auto"/>
        </w:rPr>
        <w:t xml:space="preserve"> by the amount, if any, for which the Company Target Working Capital exceeds the Company Estimated Closing Working Capital, as determined in accordance with Section 2.04(a) of the Purchase Agreement.</w:t>
      </w:r>
    </w:p>
    <w:p>
      <w:pPr>
        <w:spacing w:after="0" w:line="185" w:lineRule="exact"/>
        <w:rPr>
          <w:rFonts w:ascii="Times New Roman" w:cs="Times New Roman" w:eastAsia="Times New Roman" w:hAnsi="Times New Roman"/>
          <w:sz w:val="18"/>
          <w:szCs w:val="18"/>
          <w:color w:val="auto"/>
        </w:rPr>
      </w:pPr>
    </w:p>
    <w:p>
      <w:pPr>
        <w:ind w:firstLine="656"/>
        <w:spacing w:after="0" w:line="284" w:lineRule="auto"/>
        <w:tabs>
          <w:tab w:leader="none" w:pos="153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Original Principal Amount shall be </w:t>
      </w:r>
      <w:r>
        <w:rPr>
          <w:rFonts w:ascii="Times New Roman" w:cs="Times New Roman" w:eastAsia="Times New Roman" w:hAnsi="Times New Roman"/>
          <w:sz w:val="18"/>
          <w:szCs w:val="18"/>
          <w:i w:val="1"/>
          <w:iCs w:val="1"/>
          <w:color w:val="auto"/>
        </w:rPr>
        <w:t>increased</w:t>
      </w:r>
      <w:r>
        <w:rPr>
          <w:rFonts w:ascii="Times New Roman" w:cs="Times New Roman" w:eastAsia="Times New Roman" w:hAnsi="Times New Roman"/>
          <w:sz w:val="18"/>
          <w:szCs w:val="18"/>
          <w:color w:val="auto"/>
        </w:rPr>
        <w:t xml:space="preserve"> by the amount, if any, for which the Company Estimated Closing Working Capital exceeds the Company Target Working Capital, as determined in accordance with Section 2.04(a) of the Purchase Agreement.</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47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Post-Closing Adjustment is a positive number, as determined in accordance with Section 2.04(b) of the Purchase Agreement, the Original Principal Amount shall be </w:t>
      </w:r>
      <w:r>
        <w:rPr>
          <w:rFonts w:ascii="Times New Roman" w:cs="Times New Roman" w:eastAsia="Times New Roman" w:hAnsi="Times New Roman"/>
          <w:sz w:val="18"/>
          <w:szCs w:val="18"/>
          <w:i w:val="1"/>
          <w:iCs w:val="1"/>
          <w:color w:val="auto"/>
        </w:rPr>
        <w:t>increased</w:t>
      </w:r>
      <w:r>
        <w:rPr>
          <w:rFonts w:ascii="Times New Roman" w:cs="Times New Roman" w:eastAsia="Times New Roman" w:hAnsi="Times New Roman"/>
          <w:sz w:val="18"/>
          <w:szCs w:val="18"/>
          <w:color w:val="auto"/>
        </w:rPr>
        <w:t xml:space="preserve"> further by the amount of the Post-Closing Adjustment.</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42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Post-Closing Adjustment is a negative number, as determined in accordance with Section 2.04(b) of the Purchase Agreement, the Original Principal Amount shall be </w:t>
      </w:r>
      <w:r>
        <w:rPr>
          <w:rFonts w:ascii="Times New Roman" w:cs="Times New Roman" w:eastAsia="Times New Roman" w:hAnsi="Times New Roman"/>
          <w:sz w:val="18"/>
          <w:szCs w:val="18"/>
          <w:i w:val="1"/>
          <w:iCs w:val="1"/>
          <w:color w:val="auto"/>
        </w:rPr>
        <w:t>reduced</w:t>
      </w:r>
      <w:r>
        <w:rPr>
          <w:rFonts w:ascii="Times New Roman" w:cs="Times New Roman" w:eastAsia="Times New Roman" w:hAnsi="Times New Roman"/>
          <w:sz w:val="18"/>
          <w:szCs w:val="18"/>
          <w:color w:val="auto"/>
        </w:rPr>
        <w:t xml:space="preserve"> further by the amount of the Post-Closing Adjustment.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Original Principal Amount as adjusted pursuant to this Section 1 shall be referred to herein as the “</w:t>
      </w:r>
      <w:r>
        <w:rPr>
          <w:rFonts w:ascii="Times New Roman" w:cs="Times New Roman" w:eastAsia="Times New Roman" w:hAnsi="Times New Roman"/>
          <w:sz w:val="18"/>
          <w:szCs w:val="18"/>
          <w:b w:val="1"/>
          <w:bCs w:val="1"/>
          <w:u w:val="single" w:color="auto"/>
          <w:color w:val="auto"/>
        </w:rPr>
        <w:t>Adjusted Principal Amount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472440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6" w:name="page57"/>
    <w:bookmarkEnd w:id="56"/>
    <w:p>
      <w:pPr>
        <w:ind w:left="720" w:hanging="712"/>
        <w:spacing w:after="0"/>
        <w:tabs>
          <w:tab w:leader="none" w:pos="7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color w:val="auto"/>
        </w:rPr>
        <w:t>. The Adjusted Principal Amount of this Note shall be paid in two installments:</w:t>
      </w:r>
    </w:p>
    <w:p>
      <w:pPr>
        <w:spacing w:after="0" w:line="252"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1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payment in an amount equal to $3,000,000.00 (the “</w:t>
      </w:r>
      <w:r>
        <w:rPr>
          <w:rFonts w:ascii="Times New Roman" w:cs="Times New Roman" w:eastAsia="Times New Roman" w:hAnsi="Times New Roman"/>
          <w:sz w:val="18"/>
          <w:szCs w:val="18"/>
          <w:b w:val="1"/>
          <w:bCs w:val="1"/>
          <w:u w:val="single" w:color="auto"/>
          <w:color w:val="auto"/>
        </w:rPr>
        <w:t>First Installment</w:t>
      </w:r>
      <w:r>
        <w:rPr>
          <w:rFonts w:ascii="Times New Roman" w:cs="Times New Roman" w:eastAsia="Times New Roman" w:hAnsi="Times New Roman"/>
          <w:sz w:val="18"/>
          <w:szCs w:val="18"/>
          <w:color w:val="auto"/>
        </w:rPr>
        <w:t>”), subject to Sections 6 and 7 below, shall be due and payable on March 18, 2017 and</w:t>
      </w:r>
    </w:p>
    <w:p>
      <w:pPr>
        <w:spacing w:after="0" w:line="181" w:lineRule="exact"/>
        <w:rPr>
          <w:rFonts w:ascii="Times New Roman" w:cs="Times New Roman" w:eastAsia="Times New Roman" w:hAnsi="Times New Roman"/>
          <w:sz w:val="18"/>
          <w:szCs w:val="18"/>
          <w:color w:val="auto"/>
        </w:rPr>
      </w:pPr>
    </w:p>
    <w:p>
      <w:pPr>
        <w:ind w:firstLine="656"/>
        <w:spacing w:after="0" w:line="286" w:lineRule="auto"/>
        <w:tabs>
          <w:tab w:leader="none" w:pos="13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payment in an amount equal to the balance of the Adjusted Principal Amount (the “</w:t>
      </w:r>
      <w:r>
        <w:rPr>
          <w:rFonts w:ascii="Times New Roman" w:cs="Times New Roman" w:eastAsia="Times New Roman" w:hAnsi="Times New Roman"/>
          <w:sz w:val="18"/>
          <w:szCs w:val="18"/>
          <w:b w:val="1"/>
          <w:bCs w:val="1"/>
          <w:u w:val="single" w:color="auto"/>
          <w:color w:val="auto"/>
        </w:rPr>
        <w:t>Second Installment</w:t>
      </w:r>
      <w:r>
        <w:rPr>
          <w:rFonts w:ascii="Times New Roman" w:cs="Times New Roman" w:eastAsia="Times New Roman" w:hAnsi="Times New Roman"/>
          <w:sz w:val="18"/>
          <w:szCs w:val="18"/>
          <w:color w:val="auto"/>
        </w:rPr>
        <w:t>”), subject to Sections 6 and 7 below, shall be due and payable on March 18, 2018 (the “</w:t>
      </w:r>
      <w:r>
        <w:rPr>
          <w:rFonts w:ascii="Times New Roman" w:cs="Times New Roman" w:eastAsia="Times New Roman" w:hAnsi="Times New Roman"/>
          <w:sz w:val="18"/>
          <w:szCs w:val="18"/>
          <w:b w:val="1"/>
          <w:bCs w:val="1"/>
          <w:u w:val="single" w:color="auto"/>
          <w:color w:val="auto"/>
        </w:rPr>
        <w:t>Maturity Date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accrued and unpaid interest under this Note shall be due and payable on the Maturity Date. Subject to Sections 6 and 7 below, all amounts due under this Note shall be paid by wire transfer of immediately available funds to an account designated by the Stockholder Representative. If any such payment is due on a day that is not a business day, said payment will be due on the next succeeding business day, and the resulting extension of time will be taken into account in calculating the amount of interest payable under this Note.</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Optional Prepayments</w:t>
      </w:r>
      <w:r>
        <w:rPr>
          <w:rFonts w:ascii="Times New Roman" w:cs="Times New Roman" w:eastAsia="Times New Roman" w:hAnsi="Times New Roman"/>
          <w:sz w:val="18"/>
          <w:szCs w:val="18"/>
          <w:color w:val="auto"/>
        </w:rPr>
        <w:t>. The Maker may prepay this Note prior to the Maturity Date, in whole or in part, without penalty or premium,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from time to time. Prepayments shall be applied first to accrued but unpaid interest and then to principal.</w:t>
      </w:r>
    </w:p>
    <w:p>
      <w:pPr>
        <w:spacing w:after="0" w:line="182" w:lineRule="exact"/>
        <w:rPr>
          <w:sz w:val="20"/>
          <w:szCs w:val="20"/>
          <w:color w:val="auto"/>
        </w:rPr>
      </w:pPr>
    </w:p>
    <w:p>
      <w:pPr>
        <w:jc w:val="both"/>
        <w:ind w:firstLine="8"/>
        <w:spacing w:after="0" w:line="268" w:lineRule="auto"/>
        <w:tabs>
          <w:tab w:leader="none" w:pos="99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Subordination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indebtedness evidenced by this Note is subordinated in right of payment pursuant to, and all rights of the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are subject to the terms of, that certain Subordination Agreement, dated as of the date hereof, by and among the Stockholder Representative, the Maker and Wells Fargo Bank, National Association (the “</w:t>
      </w:r>
      <w:r>
        <w:rPr>
          <w:rFonts w:ascii="Times New Roman" w:cs="Times New Roman" w:eastAsia="Times New Roman" w:hAnsi="Times New Roman"/>
          <w:sz w:val="18"/>
          <w:szCs w:val="18"/>
          <w:b w:val="1"/>
          <w:bCs w:val="1"/>
          <w:u w:val="single" w:color="auto"/>
          <w:color w:val="auto"/>
        </w:rPr>
        <w:t>Subordination Agreement</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85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Security</w:t>
      </w:r>
      <w:r>
        <w:rPr>
          <w:rFonts w:ascii="Times New Roman" w:cs="Times New Roman" w:eastAsia="Times New Roman" w:hAnsi="Times New Roman"/>
          <w:sz w:val="18"/>
          <w:szCs w:val="18"/>
          <w:color w:val="auto"/>
        </w:rPr>
        <w:t>. To secure the Maker’s performance of its obligations hereunder, the Maker hereby grants to the Stockholder Representative a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subordinated to Wells Fargo Bank pursuant to the Subordination Agreement, in the following collateral and pursuant to the separate agreements noted below:</w:t>
      </w:r>
    </w:p>
    <w:p>
      <w:pPr>
        <w:spacing w:after="0" w:line="20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833,939 shares of common stock of Mangrove Employer Services, Inc. pursuant to a Stock Pledge Agreement of even date herewith;</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uncertificated membership interests of Asure COBRASource, LLC pursuant to a Security Agreement of even date herewith; and</w:t>
      </w:r>
    </w:p>
    <w:p>
      <w:pPr>
        <w:spacing w:after="0" w:line="9"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source license agreement for version 11 of Maker’s AsureForce time and labor management software pursuant to an AsureForce Escrow Agreement of even date herewith.</w:t>
      </w:r>
    </w:p>
    <w:p>
      <w:pPr>
        <w:spacing w:after="0" w:line="202" w:lineRule="exact"/>
        <w:rPr>
          <w:rFonts w:ascii="Times New Roman" w:cs="Times New Roman" w:eastAsia="Times New Roman" w:hAnsi="Times New Roman"/>
          <w:sz w:val="18"/>
          <w:szCs w:val="18"/>
          <w:color w:val="auto"/>
        </w:rPr>
      </w:pPr>
    </w:p>
    <w:p>
      <w:pPr>
        <w:jc w:val="both"/>
        <w:ind w:firstLine="8"/>
        <w:spacing w:after="0" w:line="268" w:lineRule="auto"/>
        <w:tabs>
          <w:tab w:leader="none" w:pos="828"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Default</w:t>
      </w:r>
      <w:r>
        <w:rPr>
          <w:rFonts w:ascii="Times New Roman" w:cs="Times New Roman" w:eastAsia="Times New Roman" w:hAnsi="Times New Roman"/>
          <w:sz w:val="18"/>
          <w:szCs w:val="18"/>
          <w:color w:val="auto"/>
        </w:rPr>
        <w:t>. If any of the events specified in this Section 6 occur (each an “</w:t>
      </w:r>
      <w:r>
        <w:rPr>
          <w:rFonts w:ascii="Times New Roman" w:cs="Times New Roman" w:eastAsia="Times New Roman" w:hAnsi="Times New Roman"/>
          <w:sz w:val="18"/>
          <w:szCs w:val="18"/>
          <w:b w:val="1"/>
          <w:bCs w:val="1"/>
          <w:u w:val="single" w:color="auto"/>
          <w:color w:val="auto"/>
        </w:rPr>
        <w:t>Event of Default</w:t>
      </w:r>
      <w:r>
        <w:rPr>
          <w:rFonts w:ascii="Times New Roman" w:cs="Times New Roman" w:eastAsia="Times New Roman" w:hAnsi="Times New Roman"/>
          <w:sz w:val="18"/>
          <w:szCs w:val="18"/>
          <w:color w:val="auto"/>
        </w:rPr>
        <w:t>”), the Stockholder Representative may,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Subordination Agreement, declare the entire principal amount of this Note, together with all unpaid accrued interest thereon, immediately due and payable by written notice to the Maker:</w:t>
      </w:r>
    </w:p>
    <w:p>
      <w:pPr>
        <w:spacing w:after="0" w:line="229" w:lineRule="exact"/>
        <w:rPr>
          <w:sz w:val="20"/>
          <w:szCs w:val="20"/>
          <w:color w:val="auto"/>
        </w:rPr>
      </w:pPr>
    </w:p>
    <w:p>
      <w:pPr>
        <w:ind w:firstLine="656"/>
        <w:spacing w:after="0" w:line="282" w:lineRule="auto"/>
        <w:tabs>
          <w:tab w:leader="none" w:pos="10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Maker fails to make any required payment under this Note when due, and such failure shall continue for fifteen (15) days after written notice from the Stockholder Representative to the Maker; provided, however, that neither of the following shall constitute an Event of Default: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7" w:name="page58"/>
    <w:bookmarkEnd w:id="57"/>
    <w:p>
      <w:pPr>
        <w:ind w:left="1700" w:hanging="395"/>
        <w:spacing w:after="0"/>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withholding and setoff of up to $500,000 of the First Installment by Maker pursuant to Section 9.06(b) of the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61" w:lineRule="exact"/>
        <w:rPr>
          <w:sz w:val="20"/>
          <w:szCs w:val="20"/>
          <w:color w:val="auto"/>
        </w:rPr>
      </w:pPr>
    </w:p>
    <w:p>
      <w:pPr>
        <w:jc w:val="both"/>
        <w:ind w:firstLine="1305"/>
        <w:spacing w:after="0" w:line="266" w:lineRule="auto"/>
        <w:tabs>
          <w:tab w:leader="none" w:pos="173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pay the Second Installment under this Note in full when due to the extent a Buyer Indemnitee has delivered notice of a claim for indemnification in good faith pursuant to Section 9.02 of the Purchase Agreement and such claim has not been finally resolved or agreed to on or before the Maturity Date, and the Maker otherwise pays all undisputed amounts due pursuant to the Second Installment under this Note;</w:t>
      </w:r>
    </w:p>
    <w:p>
      <w:pPr>
        <w:spacing w:after="0" w:line="230" w:lineRule="exact"/>
        <w:rPr>
          <w:rFonts w:ascii="Times New Roman" w:cs="Times New Roman" w:eastAsia="Times New Roman" w:hAnsi="Times New Roman"/>
          <w:sz w:val="18"/>
          <w:szCs w:val="18"/>
          <w:color w:val="auto"/>
        </w:rPr>
      </w:pPr>
    </w:p>
    <w:p>
      <w:pPr>
        <w:jc w:val="both"/>
        <w:ind w:firstLine="656"/>
        <w:spacing w:after="0" w:line="258" w:lineRule="auto"/>
        <w:tabs>
          <w:tab w:leader="none" w:pos="10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Maker, under the applicable laws of any jurisdiction: (i) is dissolved, liquidated, or wound up or otherwise ceases doing business; (ii) becomes insolvent or is unable to pay its debts or fails or admits in writing its inability generally to pay its debts as they become due; (iii) consents to the appointment of a trustee, receiver, assignee, liquidator, or similar official; (iv) makes a general assignment for the benefit of its creditors; or (v) institutes a proceeding, or has an involuntary proceeding instituted against it and such involuntary proceeding is not dismissed within sixty (60) days of such filing, seeking a judgment of insolvency, bankruptcy, or any other similar relief under any bankruptcy, insolvency, or other similar law affecting creditors’ rights; or</w:t>
      </w:r>
    </w:p>
    <w:p>
      <w:pPr>
        <w:spacing w:after="0" w:line="23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Maker is in breach of the Subordination Agreement or the Security Agreement and such breach continues for 30 days after written notice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Maker.</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subordination provisions of the Subordination Agreement, upon the occurrence of an Event of Default, the Stockholder Representative may, at its option (a) declare the entire unpaid principal amount of this Note, together with all accrued interest to be immediately due and payable by written notice to the Maker; and (b) exercise any and all rights and remedies available to it under law and in equity. In addition, during the pendency of an Event of Default, the interest rate hereunder shall increase to an annual rate equal to the prime rate (as publicly announced by Wells Fargo Bank, National Association) plus 2%, with changes in such prime rate taking effect hereunder at the same time as they take effect for such bank. The Maker will pay all costs and expenses incurred by or on behalf of Stockholder Representative in connection with the Stockholder Representative’s exercise of any or all of its rights and remedies under this Note, including reasonable attorneys’ fees, costs, and disbursements.</w:t>
      </w:r>
    </w:p>
    <w:p>
      <w:pPr>
        <w:spacing w:after="0" w:line="212" w:lineRule="exact"/>
        <w:rPr>
          <w:sz w:val="20"/>
          <w:szCs w:val="20"/>
          <w:color w:val="auto"/>
        </w:rPr>
      </w:pPr>
    </w:p>
    <w:p>
      <w:pPr>
        <w:jc w:val="both"/>
        <w:ind w:firstLine="8"/>
        <w:spacing w:after="0" w:line="262" w:lineRule="auto"/>
        <w:tabs>
          <w:tab w:leader="none" w:pos="976"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 to Withhold and Setoff</w:t>
      </w:r>
      <w:r>
        <w:rPr>
          <w:rFonts w:ascii="Times New Roman" w:cs="Times New Roman" w:eastAsia="Times New Roman" w:hAnsi="Times New Roman"/>
          <w:sz w:val="18"/>
          <w:szCs w:val="18"/>
          <w:color w:val="auto"/>
        </w:rPr>
        <w:t>. For the avoidance of doubt, the Maker has the right to withhold and set off up to Five Hundred Thousand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($500,000) against the First Installment due hereunder to effectuate this Note’s reduction to the extent provided for pursuant to Section 9.06(b) of the Purchase Agreement and to withhold and set off against the Second Installment due hereunder up to One Million Dollars ($1,000,000) of the amount to which the Maker and other Buyer Indemnitees may be entitled under Article VII or Article IX of the Purchase Agreement.</w:t>
      </w:r>
    </w:p>
    <w:p>
      <w:pPr>
        <w:spacing w:after="0" w:line="203"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7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This Note may not be assigned by the Stockholder Representative without the prior written consent of the Maker, which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unreasonably withheld.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58" w:name="page59"/>
    <w:bookmarkEnd w:id="58"/>
    <w:p>
      <w:pPr>
        <w:ind w:firstLine="8"/>
        <w:spacing w:after="0" w:line="286" w:lineRule="auto"/>
        <w:tabs>
          <w:tab w:leader="none" w:pos="828"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w:t>
      </w:r>
      <w:r>
        <w:rPr>
          <w:rFonts w:ascii="Times New Roman" w:cs="Times New Roman" w:eastAsia="Times New Roman" w:hAnsi="Times New Roman"/>
          <w:sz w:val="18"/>
          <w:szCs w:val="18"/>
          <w:color w:val="auto"/>
        </w:rPr>
        <w:t>. This Note shall be binding upon, and shall inure to the benefit of and shall be enforceable by, the parties hereto and their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w:t>
      </w:r>
    </w:p>
    <w:p>
      <w:pPr>
        <w:spacing w:after="0" w:line="181"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787"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Waivers</w:t>
      </w:r>
      <w:r>
        <w:rPr>
          <w:rFonts w:ascii="Times New Roman" w:cs="Times New Roman" w:eastAsia="Times New Roman" w:hAnsi="Times New Roman"/>
          <w:sz w:val="18"/>
          <w:szCs w:val="18"/>
          <w:color w:val="auto"/>
        </w:rPr>
        <w:t>. The Maker hereby waives presentment for payment, demand, notice of dishonor, protest and notice of payment and all other notices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kind in connection with the enforcement of this Note.</w:t>
      </w:r>
    </w:p>
    <w:p>
      <w:pPr>
        <w:spacing w:after="0" w:line="181"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76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Note and any claim, controversy or cause of action based upon, arising out of or relating to this Note shall be governed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laws of the State of Delaware, without giving effect to conflict of laws principles thereof. The Maker (by its signature below) and the Stockholder Representative (by acceptance of this Note) each irrevocably agree that any legal suit, action or proceeding arising out of or relating to this Note will be brought in any state or federal court in the State of Florida, County of Hillsborough, and submit to the exclusive jurisdiction of any such court in any such legal suit, action or proceeding. A final judgment in any legal suit, action or proceeding will be conclusive and may be enforced in any other jurisdiction by suit on the judgment. The Maker waives, to the full extent permitted by law, any right to stay or to dismiss any action brought in accordance with this Section</w:t>
      </w:r>
    </w:p>
    <w:p>
      <w:pPr>
        <w:spacing w:after="0" w:line="4"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inconvenient forum and waives any bond, surety, or other security that might be required of any other party.</w:t>
      </w:r>
    </w:p>
    <w:p>
      <w:pPr>
        <w:spacing w:after="0" w:line="229" w:lineRule="exact"/>
        <w:rPr>
          <w:rFonts w:ascii="Times New Roman" w:cs="Times New Roman" w:eastAsia="Times New Roman" w:hAnsi="Times New Roman"/>
          <w:sz w:val="18"/>
          <w:szCs w:val="18"/>
          <w:color w:val="auto"/>
        </w:rPr>
      </w:pPr>
    </w:p>
    <w:p>
      <w:pPr>
        <w:ind w:right="20" w:firstLine="8"/>
        <w:spacing w:after="0" w:line="286" w:lineRule="auto"/>
        <w:tabs>
          <w:tab w:leader="none" w:pos="74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demands, claims, and other communications under this Note will be in writing and delivered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Agreement.</w:t>
      </w:r>
    </w:p>
    <w:p>
      <w:pPr>
        <w:spacing w:after="0" w:line="181"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7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No amendment, modification, replacement, termination, or cancellation of any provision of this Note will be valid, unless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in writing and signed by the Maker and the Stockholder Representative. Any waiver of the terms hereof shall be effective only in the specific instance and for the specific purpose given.</w:t>
      </w:r>
    </w:p>
    <w:p>
      <w:pPr>
        <w:spacing w:after="0" w:line="197"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7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THE MAKER HEREBY EXPRESSLY WAIVES ANY RIGHT TO A TRIAL BY JURY IN ANY SUIT, ACTION OR PROCEEDING INVOLVING THIS NOTE. THIS PROVISION IS A MATERIAL INDUCEMENT FOR MAKER TO ENTER INTO THE CONTEMPLATED TRANSACTION.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Maker has executed this Note as of March 18, 2016.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-7620</wp:posOffset>
            </wp:positionV>
            <wp:extent cx="21145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145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F. Goepel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9" w:name="page60"/>
    <w:bookmarkEnd w:id="5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6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840" w:type="dxa"/>
            <w:vAlign w:val="bottom"/>
          </w:tcPr>
          <w:p>
            <w:pPr>
              <w:spacing w:after="0"/>
              <w:rPr>
                <w:sz w:val="21"/>
                <w:szCs w:val="21"/>
                <w:color w:val="auto"/>
              </w:rPr>
            </w:pPr>
          </w:p>
        </w:tc>
      </w:tr>
      <w:tr>
        <w:trPr>
          <w:trHeight w:val="198"/>
        </w:trPr>
        <w:tc>
          <w:tcPr>
            <w:tcW w:w="2860" w:type="dxa"/>
            <w:vAlign w:val="bottom"/>
          </w:tcPr>
          <w:p>
            <w:pPr>
              <w:spacing w:after="0"/>
              <w:rPr>
                <w:sz w:val="17"/>
                <w:szCs w:val="17"/>
                <w:color w:val="auto"/>
              </w:rPr>
            </w:pPr>
          </w:p>
        </w:tc>
        <w:tc>
          <w:tcPr>
            <w:tcW w:w="34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Compression Labs, Inc.</w:t>
            </w:r>
          </w:p>
        </w:tc>
        <w:tc>
          <w:tcPr>
            <w:tcW w:w="220" w:type="dxa"/>
            <w:vAlign w:val="bottom"/>
          </w:tcPr>
          <w:p>
            <w:pPr>
              <w:spacing w:after="0"/>
              <w:rPr>
                <w:sz w:val="17"/>
                <w:szCs w:val="17"/>
                <w:color w:val="auto"/>
              </w:rPr>
            </w:pPr>
          </w:p>
        </w:tc>
        <w:tc>
          <w:tcPr>
            <w:tcW w:w="2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2840" w:type="dxa"/>
            <w:vAlign w:val="bottom"/>
          </w:tcPr>
          <w:p>
            <w:pPr>
              <w:spacing w:after="0"/>
              <w:rPr>
                <w:sz w:val="17"/>
                <w:szCs w:val="17"/>
                <w:color w:val="auto"/>
              </w:rPr>
            </w:pPr>
          </w:p>
        </w:tc>
      </w:tr>
      <w:tr>
        <w:trPr>
          <w:trHeight w:val="216"/>
        </w:trPr>
        <w:tc>
          <w:tcPr>
            <w:tcW w:w="28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Forgent Networks Canada, Inc.</w:t>
            </w: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iSarla Software Solutions Private Limited</w:t>
            </w: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VTEL Australia, PTY LTD</w:t>
            </w: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Australia</w:t>
            </w: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VTEL Germany, GmbH</w:t>
            </w: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Asure Software UK Ltd.</w:t>
            </w: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c>
          <w:tcPr>
            <w:tcW w:w="284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Mangrove COBRASource, LLC</w:t>
            </w: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Delaware</w:t>
            </w:r>
          </w:p>
        </w:tc>
        <w:tc>
          <w:tcPr>
            <w:tcW w:w="2840" w:type="dxa"/>
            <w:vAlign w:val="bottom"/>
          </w:tcPr>
          <w:p>
            <w:pPr>
              <w:spacing w:after="0"/>
              <w:rPr>
                <w:sz w:val="20"/>
                <w:szCs w:val="20"/>
                <w:color w:val="auto"/>
              </w:rPr>
            </w:pPr>
          </w:p>
        </w:tc>
      </w:tr>
      <w:tr>
        <w:trPr>
          <w:trHeight w:val="1604"/>
        </w:trPr>
        <w:tc>
          <w:tcPr>
            <w:tcW w:w="286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61" w:name="page62"/>
    <w:bookmarkEnd w:id="6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firstLine="8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and in the related prospectuses thereto, of Asure Software, Inc. (Form S-3 No. 333-182828 and Form S-8 No. 333-175186) of our report dated March 30, 2016, with respect to the consolidated financial statements of Asure Software, Inc. included in this Annual Report (Form 10-K) for the year ended December 31, 2015.</w:t>
      </w:r>
    </w:p>
    <w:p>
      <w:pPr>
        <w:spacing w:after="0" w:line="200" w:lineRule="exact"/>
        <w:rPr>
          <w:sz w:val="20"/>
          <w:szCs w:val="20"/>
          <w:color w:val="auto"/>
        </w:rPr>
      </w:pPr>
    </w:p>
    <w:p>
      <w:pPr>
        <w:spacing w:after="0" w:line="219" w:lineRule="exact"/>
        <w:rPr>
          <w:sz w:val="20"/>
          <w:szCs w:val="20"/>
          <w:color w:val="auto"/>
        </w:rPr>
      </w:pPr>
    </w:p>
    <w:p>
      <w:pPr>
        <w:ind w:left="7140"/>
        <w:spacing w:after="0"/>
        <w:tabs>
          <w:tab w:leader="none" w:pos="7460" w:val="left"/>
        </w:tabs>
        <w:rPr>
          <w:sz w:val="20"/>
          <w:szCs w:val="20"/>
          <w:color w:val="auto"/>
        </w:rPr>
      </w:pPr>
      <w:r>
        <w:rPr>
          <w:rFonts w:ascii="Times New Roman" w:cs="Times New Roman" w:eastAsia="Times New Roman" w:hAnsi="Times New Roman"/>
          <w:sz w:val="18"/>
          <w:szCs w:val="18"/>
          <w:u w:val="single" w:color="auto"/>
          <w:color w:val="auto"/>
        </w:rPr>
        <w:t>/s/</w:t>
      </w:r>
      <w:r>
        <w:rPr>
          <w:sz w:val="20"/>
          <w:szCs w:val="20"/>
          <w:color w:val="auto"/>
        </w:rPr>
        <w:tab/>
      </w:r>
      <w:r>
        <w:rPr>
          <w:rFonts w:ascii="Times New Roman" w:cs="Times New Roman" w:eastAsia="Times New Roman" w:hAnsi="Times New Roman"/>
          <w:sz w:val="17"/>
          <w:szCs w:val="17"/>
          <w:u w:val="single" w:color="auto"/>
          <w:color w:val="auto"/>
        </w:rPr>
        <w:t>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1033145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3" w:name="page64"/>
    <w:bookmarkEnd w:id="6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Goepel, certify that:</w:t>
      </w:r>
    </w:p>
    <w:p>
      <w:pPr>
        <w:spacing w:after="0" w:line="252" w:lineRule="exact"/>
        <w:rPr>
          <w:sz w:val="20"/>
          <w:szCs w:val="20"/>
          <w:color w:val="auto"/>
        </w:rPr>
      </w:pPr>
    </w:p>
    <w:p>
      <w:pPr>
        <w:ind w:left="760" w:hanging="374"/>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Annual Report on Form 10-K of the Company for the calendar year ended December 31, 2015 (the “Report”);</w:t>
      </w:r>
    </w:p>
    <w:p>
      <w:pPr>
        <w:spacing w:after="0" w:line="252"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203" w:lineRule="exact"/>
        <w:rPr>
          <w:rFonts w:ascii="Times New Roman" w:cs="Times New Roman" w:eastAsia="Times New Roman" w:hAnsi="Times New Roman"/>
          <w:sz w:val="18"/>
          <w:szCs w:val="18"/>
          <w:color w:val="auto"/>
        </w:rPr>
      </w:pPr>
    </w:p>
    <w:p>
      <w:pPr>
        <w:ind w:left="760" w:right="40" w:hanging="374"/>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88" w:lineRule="exact"/>
        <w:rPr>
          <w:rFonts w:ascii="Times New Roman" w:cs="Times New Roman" w:eastAsia="Times New Roman" w:hAnsi="Times New Roman"/>
          <w:sz w:val="18"/>
          <w:szCs w:val="18"/>
          <w:color w:val="auto"/>
        </w:rPr>
      </w:pPr>
    </w:p>
    <w:p>
      <w:pPr>
        <w:jc w:val="both"/>
        <w:ind w:left="760" w:right="40" w:hanging="374"/>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203" w:lineRule="exact"/>
        <w:rPr>
          <w:rFonts w:ascii="Times New Roman" w:cs="Times New Roman" w:eastAsia="Times New Roman" w:hAnsi="Times New Roman"/>
          <w:sz w:val="18"/>
          <w:szCs w:val="18"/>
          <w:color w:val="auto"/>
        </w:rPr>
      </w:pPr>
    </w:p>
    <w:p>
      <w:pPr>
        <w:jc w:val="both"/>
        <w:ind w:left="1300" w:right="20" w:hanging="387"/>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203" w:lineRule="exact"/>
        <w:rPr>
          <w:rFonts w:ascii="Times New Roman" w:cs="Times New Roman" w:eastAsia="Times New Roman" w:hAnsi="Times New Roman"/>
          <w:sz w:val="18"/>
          <w:szCs w:val="18"/>
          <w:color w:val="auto"/>
        </w:rPr>
      </w:pPr>
    </w:p>
    <w:p>
      <w:pPr>
        <w:jc w:val="both"/>
        <w:ind w:left="1300" w:right="20" w:hanging="387"/>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300" w:right="40" w:hanging="387"/>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right="40" w:hanging="387"/>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the Company’s internal control over financial reporting that occurred during the Company’s most recent calendar year ended December 31, 2015 that has materially affected, or is reasonably likely to materially affect, the Company’s internal control over financial reporting; and</w:t>
      </w:r>
    </w:p>
    <w:p>
      <w:pPr>
        <w:spacing w:after="0" w:line="203" w:lineRule="exact"/>
        <w:rPr>
          <w:rFonts w:ascii="Times New Roman" w:cs="Times New Roman" w:eastAsia="Times New Roman" w:hAnsi="Times New Roman"/>
          <w:sz w:val="18"/>
          <w:szCs w:val="18"/>
          <w:color w:val="auto"/>
        </w:rPr>
      </w:pPr>
    </w:p>
    <w:p>
      <w:pPr>
        <w:ind w:left="760" w:right="40" w:hanging="374"/>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88" w:lineRule="exact"/>
        <w:rPr>
          <w:rFonts w:ascii="Times New Roman" w:cs="Times New Roman" w:eastAsia="Times New Roman" w:hAnsi="Times New Roman"/>
          <w:sz w:val="18"/>
          <w:szCs w:val="18"/>
          <w:color w:val="auto"/>
        </w:rPr>
      </w:pPr>
    </w:p>
    <w:p>
      <w:pPr>
        <w:ind w:left="1300" w:right="40" w:hanging="387"/>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40" w:hanging="387"/>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55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955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Goepel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998220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5" w:name="page66"/>
    <w:bookmarkEnd w:id="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Wolfe, certify that:</w:t>
      </w:r>
    </w:p>
    <w:p>
      <w:pPr>
        <w:spacing w:after="0" w:line="252" w:lineRule="exact"/>
        <w:rPr>
          <w:sz w:val="20"/>
          <w:szCs w:val="20"/>
          <w:color w:val="auto"/>
        </w:rPr>
      </w:pPr>
    </w:p>
    <w:p>
      <w:pPr>
        <w:ind w:left="760" w:hanging="374"/>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Annual Report on Form 10-K of the Company for the calendar year ended December 31, 2015 (the “Report”);</w:t>
      </w:r>
    </w:p>
    <w:p>
      <w:pPr>
        <w:spacing w:after="0" w:line="252"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203" w:lineRule="exact"/>
        <w:rPr>
          <w:rFonts w:ascii="Times New Roman" w:cs="Times New Roman" w:eastAsia="Times New Roman" w:hAnsi="Times New Roman"/>
          <w:sz w:val="18"/>
          <w:szCs w:val="18"/>
          <w:color w:val="auto"/>
        </w:rPr>
      </w:pPr>
    </w:p>
    <w:p>
      <w:pPr>
        <w:ind w:left="760" w:right="40" w:hanging="374"/>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88" w:lineRule="exact"/>
        <w:rPr>
          <w:rFonts w:ascii="Times New Roman" w:cs="Times New Roman" w:eastAsia="Times New Roman" w:hAnsi="Times New Roman"/>
          <w:sz w:val="18"/>
          <w:szCs w:val="18"/>
          <w:color w:val="auto"/>
        </w:rPr>
      </w:pPr>
    </w:p>
    <w:p>
      <w:pPr>
        <w:jc w:val="both"/>
        <w:ind w:left="760" w:right="40" w:hanging="374"/>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203" w:lineRule="exact"/>
        <w:rPr>
          <w:rFonts w:ascii="Times New Roman" w:cs="Times New Roman" w:eastAsia="Times New Roman" w:hAnsi="Times New Roman"/>
          <w:sz w:val="18"/>
          <w:szCs w:val="18"/>
          <w:color w:val="auto"/>
        </w:rPr>
      </w:pPr>
    </w:p>
    <w:p>
      <w:pPr>
        <w:jc w:val="both"/>
        <w:ind w:left="1300" w:right="20" w:hanging="387"/>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203" w:lineRule="exact"/>
        <w:rPr>
          <w:rFonts w:ascii="Times New Roman" w:cs="Times New Roman" w:eastAsia="Times New Roman" w:hAnsi="Times New Roman"/>
          <w:sz w:val="18"/>
          <w:szCs w:val="18"/>
          <w:color w:val="auto"/>
        </w:rPr>
      </w:pPr>
    </w:p>
    <w:p>
      <w:pPr>
        <w:jc w:val="both"/>
        <w:ind w:left="1300" w:right="20" w:hanging="387"/>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300" w:right="40" w:hanging="387"/>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right="40" w:hanging="387"/>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the Company’s internal control over financial reporting that occurred during the Company’s most recent calendar year ended December 31, 2015 that has materially affected, or is reasonably likely to materially affect, the Company’s internal control over financial reporting; and</w:t>
      </w:r>
    </w:p>
    <w:p>
      <w:pPr>
        <w:spacing w:after="0" w:line="203" w:lineRule="exact"/>
        <w:rPr>
          <w:rFonts w:ascii="Times New Roman" w:cs="Times New Roman" w:eastAsia="Times New Roman" w:hAnsi="Times New Roman"/>
          <w:sz w:val="18"/>
          <w:szCs w:val="18"/>
          <w:color w:val="auto"/>
        </w:rPr>
      </w:pPr>
    </w:p>
    <w:p>
      <w:pPr>
        <w:ind w:left="760" w:right="40" w:hanging="374"/>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88" w:lineRule="exact"/>
        <w:rPr>
          <w:rFonts w:ascii="Times New Roman" w:cs="Times New Roman" w:eastAsia="Times New Roman" w:hAnsi="Times New Roman"/>
          <w:sz w:val="18"/>
          <w:szCs w:val="18"/>
          <w:color w:val="auto"/>
        </w:rPr>
      </w:pPr>
    </w:p>
    <w:p>
      <w:pPr>
        <w:ind w:left="1300" w:right="40" w:hanging="387"/>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40" w:hanging="387"/>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098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098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Wolfe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1015365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7" w:name="page68"/>
    <w:bookmarkEnd w:id="6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Goepel, do hereby certify, pursuant to 18 U.S.C. Section 1350, as adopted by Section 906 of the Sarbanes-Oxley Act of 2002, that:</w:t>
      </w:r>
    </w:p>
    <w:p>
      <w:pPr>
        <w:spacing w:after="0" w:line="252" w:lineRule="exact"/>
        <w:rPr>
          <w:sz w:val="20"/>
          <w:szCs w:val="20"/>
          <w:color w:val="auto"/>
        </w:rPr>
      </w:pPr>
    </w:p>
    <w:p>
      <w:pPr>
        <w:ind w:left="760" w:right="40" w:hanging="374"/>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calendar year ended December 31, 2015 (the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17145</wp:posOffset>
            </wp:positionV>
            <wp:extent cx="224663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Patrick Goepel</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March 30, 2016</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Asure Software, Inc. and will be retained by Asure Software, Inc. and furnished to the Securities and Exchange Commission or its staff upon request. 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1133475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69" w:name="page70"/>
    <w:bookmarkEnd w:id="6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Wolfe, do hereby certify, pursuant to 18 U.S.C. Section 1350, as adopted by Section 906 of the Sarbanes-Oxley Act of 2002, that:</w:t>
      </w:r>
    </w:p>
    <w:p>
      <w:pPr>
        <w:spacing w:after="0" w:line="252" w:lineRule="exact"/>
        <w:rPr>
          <w:sz w:val="20"/>
          <w:szCs w:val="20"/>
          <w:color w:val="auto"/>
        </w:rPr>
      </w:pPr>
    </w:p>
    <w:p>
      <w:pPr>
        <w:ind w:left="760" w:right="40" w:hanging="374"/>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2015 (the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17145</wp:posOffset>
            </wp:positionV>
            <wp:extent cx="224663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Brad Wolfe</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March 30, 2016</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Asure Software, Inc. and will be retained by Asure Software,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lowerRoman"/>
      <w:start w:val="1"/>
    </w:lvl>
  </w:abstractNum>
  <w:abstractNum w:abstractNumId="6">
    <w:nsid w:val="62BBD95A"/>
    <w:multiLevelType w:val="hybridMultilevel"/>
    <w:lvl w:ilvl="0">
      <w:lvlJc w:val="left"/>
      <w:lvlText w:val="(%1)"/>
      <w:numFmt w:val="lowerLetter"/>
      <w:start w:val="1"/>
    </w:lvl>
    <w:lvl w:ilvl="1">
      <w:lvlJc w:val="left"/>
      <w:lvlText w:val="(%2)"/>
      <w:numFmt w:val="decimal"/>
      <w:start w:val="1"/>
    </w:lvl>
  </w:abstractNum>
  <w:abstractNum w:abstractNumId="7">
    <w:nsid w:val="436C6125"/>
    <w:multiLevelType w:val="hybridMultilevel"/>
    <w:lvl w:ilvl="0">
      <w:lvlJc w:val="left"/>
      <w:lvlText w:val="(%1)"/>
      <w:numFmt w:val="lowerLetter"/>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lowerRoman"/>
      <w:start w:val="2"/>
    </w:lvl>
  </w:abstractNum>
  <w:abstractNum w:abstractNumId="13">
    <w:nsid w:val="6763845E"/>
    <w:multiLevelType w:val="hybridMultilevel"/>
    <w:lvl w:ilvl="0">
      <w:lvlJc w:val="left"/>
      <w:lvlText w:val="(%1)"/>
      <w:numFmt w:val="lowerRoman"/>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0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lvl w:ilvl="1">
      <w:lvlJc w:val="left"/>
      <w:lvlText w:val="(%2)"/>
      <w:numFmt w:val="lowerLetter"/>
      <w:start w:val="1"/>
    </w:lvl>
  </w:abstractNum>
  <w:abstractNum w:abstractNumId="19">
    <w:nsid w:val="189A769B"/>
    <w:multiLevelType w:val="hybridMultilevel"/>
    <w:lvl w:ilvl="0">
      <w:lvlJc w:val="left"/>
      <w:lvlText w:val="%1."/>
      <w:numFmt w:val="decimal"/>
      <w:start w:val="2"/>
    </w:lvl>
    <w:lvl w:ilvl="1">
      <w:lvlJc w:val="left"/>
      <w:lvlText w:val="(%2)"/>
      <w:numFmt w:val="lowerLetter"/>
      <w:start w:val="1"/>
    </w:lvl>
  </w:abstractNum>
  <w:abstractNum w:abstractNumId="20">
    <w:nsid w:val="54E49EB4"/>
    <w:multiLevelType w:val="hybridMultilevel"/>
    <w:lvl w:ilvl="0">
      <w:lvlJc w:val="left"/>
      <w:lvlText w:val="%1."/>
      <w:numFmt w:val="decimal"/>
      <w:start w:val="4"/>
    </w:lvl>
    <w:lvl w:ilvl="1">
      <w:lvlJc w:val="left"/>
      <w:lvlText w:val="·"/>
      <w:numFmt w:val="bullet"/>
      <w:start w:val="1"/>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Roman"/>
      <w:start w:val="1"/>
    </w:lvl>
  </w:abstractNum>
  <w:abstractNum w:abstractNumId="23">
    <w:nsid w:val="836C40E"/>
    <w:multiLevelType w:val="hybridMultilevel"/>
    <w:lvl w:ilvl="0">
      <w:lvlJc w:val="left"/>
      <w:lvlText w:val="%1"/>
      <w:numFmt w:val="lowerLetter"/>
      <w:start w:val="1"/>
    </w:lvl>
    <w:lvl w:ilvl="1">
      <w:lvlJc w:val="left"/>
      <w:lvlText w:val="(%2)"/>
      <w:numFmt w:val="lowerLetter"/>
      <w:start w:val="35"/>
    </w:lvl>
  </w:abstractNum>
  <w:abstractNum w:abstractNumId="24">
    <w:nsid w:val="2901D82"/>
    <w:multiLevelType w:val="hybridMultilevel"/>
    <w:lvl w:ilvl="0">
      <w:lvlJc w:val="left"/>
      <w:lvlText w:val="(%1)"/>
      <w:numFmt w:val="lowerLetter"/>
      <w:start w:val="2"/>
    </w:lvl>
    <w:lvl w:ilvl="1">
      <w:lvlJc w:val="left"/>
      <w:lvlText w:val="%2"/>
      <w:numFmt w:val="lowerLetter"/>
      <w:start w:val="1"/>
    </w:lvl>
  </w:abstractNum>
  <w:abstractNum w:abstractNumId="25">
    <w:nsid w:val="3A95F874"/>
    <w:multiLevelType w:val="hybridMultilevel"/>
    <w:lvl w:ilvl="0">
      <w:lvlJc w:val="left"/>
      <w:lvlText w:val="%1."/>
      <w:numFmt w:val="decimal"/>
      <w:start w:val="7"/>
    </w:lvl>
  </w:abstractNum>
  <w:abstractNum w:abstractNumId="26">
    <w:nsid w:val="8138641"/>
    <w:multiLevelType w:val="hybridMultilevel"/>
    <w:lvl w:ilvl="0">
      <w:lvlJc w:val="left"/>
      <w:lvlText w:val="%1."/>
      <w:numFmt w:val="decimal"/>
      <w:start w:val="9"/>
    </w:lvl>
  </w:abstractNum>
  <w:abstractNum w:abstractNumId="27">
    <w:nsid w:val="1E7FF521"/>
    <w:multiLevelType w:val="hybridMultilevel"/>
    <w:lvl w:ilvl="0">
      <w:lvlJc w:val="left"/>
      <w:lvlText w:val="%1"/>
      <w:numFmt w:val="decimal"/>
      <w:start w:val="11"/>
    </w:lvl>
  </w:abstractNum>
  <w:abstractNum w:abstractNumId="28">
    <w:nsid w:val="7C3DBD3D"/>
    <w:multiLevelType w:val="hybridMultilevel"/>
    <w:lvl w:ilvl="0">
      <w:lvlJc w:val="left"/>
      <w:lvlText w:val="%1."/>
      <w:numFmt w:val="decimal"/>
      <w:start w:val="12"/>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2019-12-29T13:03:41Z</dcterms:created>
  <dcterms:modified xsi:type="dcterms:W3CDTF">2019-12-29T13:03:41Z</dcterms:modified>
</cp:coreProperties>
</file>