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247015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960" w:hanging="3376"/>
        <w:spacing w:after="0" w:line="564" w:lineRule="auto"/>
        <w:tabs>
          <w:tab w:leader="none" w:pos="130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2011</w:t>
      </w:r>
    </w:p>
    <w:p>
      <w:pPr>
        <w:spacing w:after="0" w:line="378" w:lineRule="exact"/>
        <w:rPr>
          <w:sz w:val="24"/>
          <w:szCs w:val="24"/>
          <w:color w:val="auto"/>
        </w:rPr>
      </w:pPr>
    </w:p>
    <w:p>
      <w:pPr>
        <w:ind w:left="1300" w:hanging="696"/>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Commission file number: 0-20008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54"/>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20" w:type="dxa"/>
            <w:vAlign w:val="bottom"/>
            <w:gridSpan w:val="7"/>
          </w:tcPr>
          <w:p>
            <w:pPr>
              <w:jc w:val="center"/>
              <w:ind w:left="310"/>
              <w:spacing w:after="0"/>
              <w:rPr>
                <w:sz w:val="20"/>
                <w:szCs w:val="20"/>
                <w:color w:val="auto"/>
              </w:rPr>
            </w:pPr>
            <w:r>
              <w:rPr>
                <w:rFonts w:ascii="Arial" w:cs="Arial" w:eastAsia="Arial" w:hAnsi="Arial"/>
                <w:sz w:val="18"/>
                <w:szCs w:val="18"/>
                <w:color w:val="auto"/>
                <w:w w:val="91"/>
              </w:rPr>
              <w:t>(Exact Name of Registrant as Specified in its Charter)</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9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74-2415696</w:t>
            </w:r>
          </w:p>
        </w:tc>
        <w:tc>
          <w:tcPr>
            <w:tcW w:w="220" w:type="dxa"/>
            <w:vAlign w:val="bottom"/>
          </w:tcPr>
          <w:p>
            <w:pPr>
              <w:spacing w:after="0"/>
              <w:rPr>
                <w:sz w:val="24"/>
                <w:szCs w:val="24"/>
                <w:color w:val="auto"/>
              </w:rPr>
            </w:pPr>
          </w:p>
        </w:tc>
      </w:tr>
      <w:tr>
        <w:trPr>
          <w:trHeight w:val="222"/>
        </w:trPr>
        <w:tc>
          <w:tcPr>
            <w:tcW w:w="6800" w:type="dxa"/>
            <w:vAlign w:val="bottom"/>
            <w:gridSpan w:val="11"/>
          </w:tcPr>
          <w:p>
            <w:pPr>
              <w:jc w:val="center"/>
              <w:ind w:right="3860"/>
              <w:spacing w:after="0"/>
              <w:rPr>
                <w:sz w:val="20"/>
                <w:szCs w:val="20"/>
                <w:color w:val="auto"/>
              </w:rPr>
            </w:pPr>
            <w:r>
              <w:rPr>
                <w:rFonts w:ascii="Arial" w:cs="Arial" w:eastAsia="Arial" w:hAnsi="Arial"/>
                <w:sz w:val="18"/>
                <w:szCs w:val="18"/>
                <w:color w:val="auto"/>
                <w:w w:val="93"/>
              </w:rPr>
              <w:t>(State of other jurisdiction of</w:t>
            </w:r>
          </w:p>
        </w:tc>
        <w:tc>
          <w:tcPr>
            <w:tcW w:w="1560" w:type="dxa"/>
            <w:vAlign w:val="bottom"/>
            <w:gridSpan w:val="5"/>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6800" w:type="dxa"/>
            <w:vAlign w:val="bottom"/>
            <w:gridSpan w:val="11"/>
          </w:tcPr>
          <w:p>
            <w:pPr>
              <w:jc w:val="center"/>
              <w:ind w:right="3860"/>
              <w:spacing w:after="0"/>
              <w:rPr>
                <w:sz w:val="20"/>
                <w:szCs w:val="20"/>
                <w:color w:val="auto"/>
              </w:rPr>
            </w:pPr>
            <w:r>
              <w:rPr>
                <w:rFonts w:ascii="Arial" w:cs="Arial" w:eastAsia="Arial" w:hAnsi="Arial"/>
                <w:sz w:val="18"/>
                <w:szCs w:val="18"/>
                <w:color w:val="auto"/>
                <w:w w:val="93"/>
              </w:rPr>
              <w:t>incorporation or organization)</w:t>
            </w:r>
          </w:p>
        </w:tc>
        <w:tc>
          <w:tcPr>
            <w:tcW w:w="15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680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1"/>
              </w:rPr>
              <w:t>110 Wild Basin Road</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840" w:type="dxa"/>
            <w:vAlign w:val="bottom"/>
            <w:gridSpan w:val="10"/>
          </w:tcPr>
          <w:p>
            <w:pPr>
              <w:jc w:val="center"/>
              <w:ind w:right="482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3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00" w:type="dxa"/>
            <w:vAlign w:val="bottom"/>
            <w:gridSpan w:val="11"/>
          </w:tcPr>
          <w:p>
            <w:pPr>
              <w:jc w:val="center"/>
              <w:ind w:right="386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5160" w:type="dxa"/>
            <w:vAlign w:val="bottom"/>
            <w:gridSpan w:val="7"/>
          </w:tcPr>
          <w:p>
            <w:pPr>
              <w:jc w:val="center"/>
              <w:ind w:left="3950"/>
              <w:spacing w:after="0"/>
              <w:rPr>
                <w:sz w:val="20"/>
                <w:szCs w:val="20"/>
                <w:color w:val="auto"/>
              </w:rPr>
            </w:pPr>
            <w:r>
              <w:rPr>
                <w:rFonts w:ascii="Arial" w:cs="Arial" w:eastAsia="Arial" w:hAnsi="Arial"/>
                <w:sz w:val="18"/>
                <w:szCs w:val="18"/>
                <w:b w:val="1"/>
                <w:bCs w:val="1"/>
                <w:color w:val="auto"/>
                <w:w w:val="90"/>
              </w:rPr>
              <w:t>(512) 437-2700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7"/>
          </w:tcPr>
          <w:p>
            <w:pPr>
              <w:jc w:val="center"/>
              <w:ind w:left="310"/>
              <w:spacing w:after="0"/>
              <w:rPr>
                <w:sz w:val="20"/>
                <w:szCs w:val="20"/>
                <w:color w:val="auto"/>
              </w:rPr>
            </w:pPr>
            <w:r>
              <w:rPr>
                <w:rFonts w:ascii="Arial" w:cs="Arial" w:eastAsia="Arial" w:hAnsi="Arial"/>
                <w:sz w:val="18"/>
                <w:szCs w:val="18"/>
                <w:color w:val="auto"/>
                <w:w w:val="90"/>
              </w:rPr>
              <w:t>(Registrant’s Telephone Number, including Area Code)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700" w:space="720"/>
            <w:col w:w="2020" w:space="720"/>
            <w:col w:w="316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August 10, 2011, the registrant had outstanding 3,084,521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00" w:type="dxa"/>
            <w:vAlign w:val="bottom"/>
            <w:gridSpan w:val="1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20" w:type="dxa"/>
            <w:vAlign w:val="bottom"/>
          </w:tcPr>
          <w:p>
            <w:pPr>
              <w:spacing w:after="0"/>
              <w:rPr>
                <w:sz w:val="14"/>
                <w:szCs w:val="14"/>
                <w:color w:val="auto"/>
              </w:rPr>
            </w:pPr>
          </w:p>
        </w:tc>
      </w:tr>
      <w:tr>
        <w:trPr>
          <w:trHeight w:val="453"/>
        </w:trPr>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gridSpan w:val="7"/>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41"/>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Pr>
          <w:p>
            <w:pPr>
              <w:spacing w:after="0"/>
              <w:rPr>
                <w:sz w:val="18"/>
                <w:szCs w:val="18"/>
                <w:color w:val="auto"/>
              </w:rPr>
            </w:pPr>
          </w:p>
        </w:tc>
      </w:tr>
      <w:tr>
        <w:trPr>
          <w:trHeight w:val="39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60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Statements (Unaudited)</w:t>
              </w:r>
            </w:hyperlink>
          </w:p>
        </w:tc>
        <w:tc>
          <w:tcPr>
            <w:tcW w:w="7060" w:type="dxa"/>
            <w:vAlign w:val="bottom"/>
            <w:gridSpan w:val="7"/>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2011 and December 31, 2010</w:t>
              </w:r>
            </w:hyperlink>
          </w:p>
        </w:tc>
        <w:tc>
          <w:tcPr>
            <w:tcW w:w="3200" w:type="dxa"/>
            <w:vAlign w:val="bottom"/>
            <w:gridSpan w:val="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2011 and 2010</w:t>
              </w:r>
            </w:hyperlink>
          </w:p>
        </w:tc>
        <w:tc>
          <w:tcPr>
            <w:tcW w:w="1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30, 2011 and 2010</w:t>
              </w:r>
            </w:hyperlink>
          </w:p>
        </w:tc>
        <w:tc>
          <w:tcPr>
            <w:tcW w:w="19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340" w:type="dxa"/>
            <w:vAlign w:val="bottom"/>
            <w:gridSpan w:val="6"/>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11">
              <w:r>
                <w:rPr>
                  <w:rFonts w:ascii="Arial" w:cs="Arial" w:eastAsia="Arial" w:hAnsi="Arial"/>
                  <w:sz w:val="18"/>
                  <w:szCs w:val="18"/>
                  <w:b w:val="1"/>
                  <w:bCs w:val="1"/>
                  <w:color w:val="0000EE"/>
                  <w:w w:val="89"/>
                </w:rPr>
                <w:t>Management’s Discussion and Analysis of Financial Condition and Results of Operations</w:t>
              </w:r>
            </w:hyperlink>
          </w:p>
        </w:tc>
        <w:tc>
          <w:tcPr>
            <w:tcW w:w="2820" w:type="dxa"/>
            <w:vAlign w:val="bottom"/>
            <w:gridSpan w:val="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9660" w:type="dxa"/>
            <w:vAlign w:val="bottom"/>
            <w:gridSpan w:val="13"/>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Quantitative and Qualitative Disclosures About Market Risk</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Controls and Procedures</w:t>
              </w:r>
            </w:hyperlink>
          </w:p>
        </w:tc>
        <w:tc>
          <w:tcPr>
            <w:tcW w:w="5000" w:type="dxa"/>
            <w:vAlign w:val="bottom"/>
            <w:gridSpan w:val="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453"/>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tcPr>
          <w:p>
            <w:pPr>
              <w:spacing w:after="0"/>
              <w:rPr>
                <w:sz w:val="24"/>
                <w:szCs w:val="24"/>
                <w:color w:val="auto"/>
              </w:rPr>
            </w:pPr>
          </w:p>
        </w:tc>
      </w:tr>
      <w:tr>
        <w:trPr>
          <w:trHeight w:val="39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Risk Factors</w:t>
              </w:r>
            </w:hyperlink>
          </w:p>
        </w:tc>
        <w:tc>
          <w:tcPr>
            <w:tcW w:w="8680" w:type="dxa"/>
            <w:vAlign w:val="bottom"/>
            <w:gridSpan w:val="9"/>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660" w:type="dxa"/>
            <w:vAlign w:val="bottom"/>
            <w:gridSpan w:val="1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Exhibits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412"/>
        </w:trPr>
        <w:tc>
          <w:tcPr>
            <w:tcW w:w="940" w:type="dxa"/>
            <w:vAlign w:val="bottom"/>
            <w:gridSpan w:val="2"/>
          </w:tcPr>
          <w:p>
            <w:pPr>
              <w:spacing w:after="0"/>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Signatures</w:t>
              </w:r>
            </w:hyperlink>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868"/>
        </w:trPr>
        <w:tc>
          <w:tcPr>
            <w:tcW w:w="82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89"/>
              </w:rPr>
              <w:t>(Amounts in thousands, except per share data)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Accounts receivable, net of allowance for doubtful accounts of $14 and $46 at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June 30, 2011 and December 31, 2010, respectively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6,063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Long-term deferred revenue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$.01 par value; 6,500 shares authorized; 3,341 and 3,341 shares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issued; 3,085 and 3,085 shares outstanding at June 30, 2011 and December 31, 2010, respectively</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Treasury stock at cost, 256 shares at June 30, 2011 and December 31, 2010, respectively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(263,574)</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(263,541)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rPr>
              <w:t>FOR THE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20" w:type="dxa"/>
            <w:vAlign w:val="bottom"/>
            <w:gridSpan w:val="5"/>
          </w:tcPr>
          <w:p>
            <w:pPr>
              <w:jc w:val="center"/>
              <w:ind w:left="30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8"/>
                <w:szCs w:val="18"/>
                <w:b w:val="1"/>
                <w:bCs w:val="1"/>
                <w:color w:val="auto"/>
                <w:w w:val="94"/>
              </w:rPr>
              <w:t>JUNE 30,</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4"/>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9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(502)</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(877)</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lease amendment</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(1,036)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Foreign currency translation gain (loss)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assets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Interest expense and other</w:t>
            </w:r>
          </w:p>
        </w:tc>
        <w:tc>
          <w:tcPr>
            <w:tcW w:w="9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 Before Income Taxes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(1,002)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(1,015)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Per Share</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Diluted Income/ (Loss) Per Share</w:t>
            </w:r>
          </w:p>
        </w:tc>
        <w:tc>
          <w:tcPr>
            <w:tcW w:w="900" w:type="dxa"/>
            <w:vAlign w:val="bottom"/>
          </w:tcPr>
          <w:p>
            <w:pPr>
              <w:jc w:val="right"/>
              <w:ind w:right="7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Shares Used In Computing Basic Income/(Loss) Per Share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Shares Used In Computing Diluted Income/(Loss) Per Share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FOR THE SIX MONTHS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8"/>
              </w:rPr>
              <w:t>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4"/>
              </w:rPr>
              <w:t>JUNE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Amortization of leasehold advance and lease impairment</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sale/disposal of assets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Loss on disposal of subtenant leasehold improvements</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Notes receivable</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purchases of property and equipment</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capital leases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Purchase of treasury stock</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exchange rates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equivalents</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1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2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AND BASIS OF FINANCIAL STATEMENTS</w:t>
      </w:r>
    </w:p>
    <w:p>
      <w:pPr>
        <w:spacing w:after="0" w:line="22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June 30, 2011 and December 31, 2010, the results of operations for the three and six months ended June 30, 2011 and 2010, and the cash flows for the six months ended June 30, 2011 and 2010.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2010. The results for the interim periods are not necessarily indicative of results for a full fiscal year.</w:t>
      </w:r>
    </w:p>
    <w:p>
      <w:pPr>
        <w:spacing w:after="0" w:line="19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As of June 30, 2011, Asure’s principal source of liquidity consisted of $2,026 of current cash and cash equivalents as well as future cash generated from operations. The increase of cash and cash equivalents of $956 for the six months ended June 30, 2011 is due primarily to cash generated from operations.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21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INTANGIBLE ASSETS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and intangible assets relate to its acquisition of iSarla Inc. and the iEmployee operations.</w:t>
      </w:r>
    </w:p>
    <w:p>
      <w:pPr>
        <w:spacing w:after="0" w:line="18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173"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Depending on the number of customers that contracted with Asure and the related pricing, the cash flows associated with the Ceridian customers may vary from historical levels. Thus the Company tested the Ceridian contract intangible asset for impairment in accordance with FASB ASC 350. The Company compared the asset’s carrying amount against the estimated undiscounted cash flows to be generated from the customers that contracted with Asure over the estimated useful life of the intangible asset. The undiscounted cash flows from the intangible asset exceeded the carrying value of the intangible asset and thus no impairment was required.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gross carrying amount and accumulated amortization of the Company’s intangible assets as of June 30, 2011 and December 31, 2010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87"/>
              </w:rPr>
              <w:t>June 30, 2011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5"/>
              </w:rPr>
              <w:t>Accumulated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Amortization</w:t>
            </w: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r>
      <w:tr>
        <w:trPr>
          <w:trHeight w:val="216"/>
        </w:trPr>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(1,875)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Covenant not-to-compete</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(2,914</w:t>
            </w: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w:t>
            </w:r>
          </w:p>
        </w:tc>
        <w:tc>
          <w:tcPr>
            <w:tcW w:w="100" w:type="dxa"/>
            <w:vAlign w:val="bottom"/>
            <w:shd w:val="clear" w:color="auto" w:fill="CCEEFF"/>
          </w:tcPr>
          <w:p>
            <w:pPr>
              <w:spacing w:after="0"/>
              <w:rPr>
                <w:sz w:val="20"/>
                <w:szCs w:val="20"/>
                <w:color w:val="auto"/>
              </w:rPr>
            </w:pP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76"/>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6"/>
              </w:rPr>
              <w:t>December 31, 2010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5"/>
              </w:rPr>
              <w:t>Accumulated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Amortization</w:t>
            </w: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r>
      <w:tr>
        <w:trPr>
          <w:trHeight w:val="216"/>
        </w:trPr>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Covenant not-to-compete</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(2,524</w:t>
            </w: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100" w:type="dxa"/>
            <w:vAlign w:val="bottom"/>
            <w:shd w:val="clear" w:color="auto" w:fill="CCEEFF"/>
          </w:tcPr>
          <w:p>
            <w:pPr>
              <w:spacing w:after="0"/>
              <w:rPr>
                <w:sz w:val="20"/>
                <w:szCs w:val="20"/>
                <w:color w:val="auto"/>
              </w:rPr>
            </w:pP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Amortization expense is recorded using the straight-line method over the estimated economic useful lives of the intangible assets, as noted above. Amortization expense for the three months ended June 30, 2011 and 2010 was $150 included in Operating Expenses and $45 included in Cost of Goods Sold. Amortization expense for the six months ended June 30, 2011 and 2010 was $298 and $299 included in Operating Expenses, respectively and $92 included in Cost of Goods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Statement No. 157 establishes a three-tier fair value hierarchy, which is based on the reliability of the inputs used in measuring fair values.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211" w:lineRule="exact"/>
        <w:rPr>
          <w:sz w:val="20"/>
          <w:szCs w:val="20"/>
          <w:color w:val="auto"/>
        </w:rPr>
      </w:pPr>
    </w:p>
    <w:p>
      <w:pPr>
        <w:ind w:left="880"/>
        <w:spacing w:after="0"/>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660" w:right="20" w:hanging="788"/>
        <w:spacing w:after="0" w:line="277" w:lineRule="auto"/>
        <w:tabs>
          <w:tab w:leader="none" w:pos="1640" w:val="left"/>
        </w:tabs>
        <w:rPr>
          <w:sz w:val="20"/>
          <w:szCs w:val="20"/>
          <w:color w:val="auto"/>
        </w:rPr>
      </w:pPr>
      <w:r>
        <w:rPr>
          <w:rFonts w:ascii="Arial" w:cs="Arial" w:eastAsia="Arial" w:hAnsi="Arial"/>
          <w:sz w:val="18"/>
          <w:szCs w:val="18"/>
          <w:color w:val="auto"/>
        </w:rPr>
        <w:t>Level 2:</w:t>
        <w:tab/>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880"/>
        <w:spacing w:after="0"/>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The following table presents the fair value hierarchy for the Company’s financial assets (cash equivalents and short-term investments) measured at fair value on a recurring basis as of June 30, 2011 and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1"/>
              </w:rPr>
              <w:t>Fair Value Measure at June 30, 2011</w:t>
            </w: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1"/>
              </w:rPr>
              <w:t>Quoted</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433"/>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1"/>
              </w:rPr>
              <w:t>Fair Value Measure at December 31, 2010</w:t>
            </w: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1"/>
              </w:rPr>
              <w:t>Quoted</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 (LOSS)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In accordance with the disclosure requirements of FASB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(FASB ASC 220), the Company’s comprehensive income (loss) is comprised of net income (loss) and foreign currency translation adjustments. The following table presents the Company’s comprehensive income (loss) and its components for the three and six months ended June 30, 2011 and 2010:</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2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Ended 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19"/>
                <w:szCs w:val="19"/>
                <w:color w:val="auto"/>
              </w:rPr>
            </w:pPr>
          </w:p>
        </w:tc>
      </w:tr>
      <w:tr>
        <w:trPr>
          <w:trHeight w:val="216"/>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Foreign currency gain (loss)</w:t>
            </w:r>
          </w:p>
        </w:tc>
        <w:tc>
          <w:tcPr>
            <w:tcW w:w="2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RECENT ACCOUNTING PRONOUNCEMENTS</w:t>
      </w:r>
    </w:p>
    <w:p>
      <w:pPr>
        <w:spacing w:after="0" w:line="229"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In October 2009, the FASB updated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(FASB ASC 605) to address how to determine whether an arrangement involving multiple deliverables contains more than one unit of accounting and how the arrangement consideration should be measured and allocated to the separate units of accounting. This guidance eliminates the residual method and replaces it with the “relative selling price” method when allocating revenue in a multiple deliverable arrangement. The selling price for each deliverable shall be determined using vendor specific objective evidence of selling price, if it exists, otherwise third-party evidence of selling price shall be used. If neither exists for a deliverable, the vendor shall use its best estimate of the selling price for that deliverable. After adoption, this guidance will also require expanded qualitative and quantitative disclosures. The updated FASB ASC 605 is effective for the Company’s revenue arrangements entered into or materially modified in fiscal years beginning on or after June 15, 2010, with early adoption permitted. The Company adopted the updated FASB ASC 605 on January 1, 2010 on a prospective basis for any new contracts entered into after the date of adoption. The adoptions of this ASC update did not have a material impact to its condensed consolidated statement of operations for the three and six months ended June 30, 2011 and 2010. However, the Company cannot predict whether the impact of this update will have a material impact in future quarters due to potential changes in products and product mix. Prior to the adoption of the updated FASB ASC 605, the Company accounted for its software subscriptions and related setup, implementation and professional services as a single accounting unit. Thus all revenues associated with such an arrangement were recognized pro-rata over the life of the software subscription service contract. Subsequent to the adoption of the updated FASB ASC 605, the Company accounts for each of these elements as separate accounting units. Thus the software subscription service revenue is recognized pro-rata over the life of the software subscription contract, while the related setup and implementation revenues are recognized upon completion. The result of the adoption is an immaterial acceleration of setup and implementation revenues related to software subscriptions.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BASED COMPENSATION</w:t>
      </w:r>
    </w:p>
    <w:p>
      <w:pPr>
        <w:spacing w:after="0" w:line="229" w:lineRule="exact"/>
        <w:rPr>
          <w:sz w:val="20"/>
          <w:szCs w:val="20"/>
          <w:color w:val="auto"/>
        </w:rPr>
      </w:pPr>
    </w:p>
    <w:p>
      <w:pPr>
        <w:jc w:val="both"/>
        <w:ind w:right="20" w:firstLine="972"/>
        <w:spacing w:after="0" w:line="259" w:lineRule="auto"/>
        <w:rPr>
          <w:sz w:val="20"/>
          <w:szCs w:val="20"/>
          <w:color w:val="auto"/>
        </w:rPr>
      </w:pPr>
      <w:r>
        <w:rPr>
          <w:rFonts w:ascii="Arial" w:cs="Arial" w:eastAsia="Arial" w:hAnsi="Arial"/>
          <w:sz w:val="18"/>
          <w:szCs w:val="18"/>
          <w:color w:val="auto"/>
        </w:rPr>
        <w:t>Share based compensation for the Company’s stock option, restricted stock and stock purchase plans for the three months ended June 30, 2011 and 2010 were $14 and $13, respectively and $28 for the six months ended June 30, 2011 and 2010. The Company did not issue shares of common stock related to exercises of stock options granted from its Stock Option, Restricted Stock, and Stock Purchase Plans for the three or six months ended June 30, 2011 and 2010, respectively.</w:t>
      </w:r>
    </w:p>
    <w:p>
      <w:pPr>
        <w:spacing w:after="0" w:line="18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On September 21, 2009, the Board adopted the Company’s 2009 Equity Plan (the “2009 Equity Plan”) and the plan was approved by the Company’s stockholders at the December 17, 2009 Annual Meeting of Stockholders. The purpose of the 2009 Equity Plan is to enhance the long-term stockholder value of the Company by offering opportunities to directors, officers, employees and eligible consultants of the Company to acquire and maintain stock ownership in the Company in order to give these persons the opportunity to participate in the Company’s growth and success, and to encourage them to remain in the service of the Company. At the Annual Meeting of the Shareholders held on June 10, 2011 the company shareholders amended to increase the number of shares on the plan by 150 thousand. A total of 350 thousand shares of the Company’s Common Stock were available for issuance under the 2009 Equity Plan and provides for the granting of (i) incentive stock options, (ii) non statutory stock options and (iii) stock purchase rights. A total of 174 thousand options have been granted and are outstanding pursuant to the plan as of June 30, 2011.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CONTINGENCIES</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None of the pending legal proceedings to which the Company is a party are material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(LOSS) PER SHARE</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8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following tables provide the components of the basic and diluted EPS computations for the three and six month periods ended June 30, 2011 and 2010:</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For the Three Months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1"/>
              </w:rPr>
              <w:t>For the Six Months</w:t>
            </w:r>
          </w:p>
        </w:tc>
      </w:tr>
      <w:tr>
        <w:trPr>
          <w:trHeight w:val="241"/>
        </w:trPr>
        <w:tc>
          <w:tcPr>
            <w:tcW w:w="2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Ended 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Ended 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b w:val="1"/>
                <w:bCs w:val="1"/>
                <w:color w:val="auto"/>
              </w:rPr>
              <w:t>Basic EPS Computation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19"/>
                <w:szCs w:val="19"/>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16"/>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8"/>
        </w:trPr>
        <w:tc>
          <w:tcPr>
            <w:tcW w:w="2260" w:type="dxa"/>
            <w:vAlign w:val="bottom"/>
          </w:tcPr>
          <w:p>
            <w:pPr>
              <w:spacing w:after="0" w:line="198" w:lineRule="exact"/>
              <w:rPr>
                <w:sz w:val="20"/>
                <w:szCs w:val="20"/>
                <w:color w:val="auto"/>
              </w:rPr>
            </w:pPr>
            <w:r>
              <w:rPr>
                <w:rFonts w:ascii="Arial" w:cs="Arial" w:eastAsia="Arial" w:hAnsi="Arial"/>
                <w:sz w:val="18"/>
                <w:szCs w:val="18"/>
                <w:b w:val="1"/>
                <w:bCs w:val="1"/>
                <w:color w:val="auto"/>
              </w:rPr>
              <w:t>Basic Net Income/(Loss)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(0.39)</w:t>
            </w:r>
          </w:p>
        </w:tc>
      </w:tr>
      <w:tr>
        <w:trPr>
          <w:trHeight w:val="21"/>
        </w:trPr>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For the Three Months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1"/>
              </w:rPr>
              <w:t>For the Six Months</w:t>
            </w:r>
          </w:p>
        </w:tc>
      </w:tr>
      <w:tr>
        <w:trPr>
          <w:trHeight w:val="241"/>
        </w:trPr>
        <w:tc>
          <w:tcPr>
            <w:tcW w:w="2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Ended 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Ended 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b w:val="1"/>
                <w:bCs w:val="1"/>
                <w:color w:val="auto"/>
              </w:rPr>
              <w:t>Diluted EPS Computation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19"/>
                <w:szCs w:val="19"/>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16"/>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20"/>
                <w:szCs w:val="20"/>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w w:val="98"/>
              </w:rPr>
              <w:t>Common shares equivalents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98"/>
        </w:trPr>
        <w:tc>
          <w:tcPr>
            <w:tcW w:w="2260" w:type="dxa"/>
            <w:vAlign w:val="bottom"/>
          </w:tcPr>
          <w:p>
            <w:pPr>
              <w:spacing w:after="0" w:line="198" w:lineRule="exact"/>
              <w:rPr>
                <w:sz w:val="20"/>
                <w:szCs w:val="20"/>
                <w:color w:val="auto"/>
              </w:rPr>
            </w:pPr>
            <w:r>
              <w:rPr>
                <w:rFonts w:ascii="Arial" w:cs="Arial" w:eastAsia="Arial" w:hAnsi="Arial"/>
                <w:sz w:val="18"/>
                <w:szCs w:val="18"/>
                <w:b w:val="1"/>
                <w:bCs w:val="1"/>
                <w:color w:val="auto"/>
              </w:rPr>
              <w:t>Basic Net Income/(Loss)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6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(0.39)</w:t>
            </w:r>
          </w:p>
        </w:tc>
      </w:tr>
      <w:tr>
        <w:trPr>
          <w:trHeight w:val="21"/>
        </w:trPr>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Stock options to acquire 160 thousand and 174 thousand shares for the three and six month periods ended June 30, 2011 were excluded in the computations of diluted EPS because the effect of including the stock options would have been anti-dilutive and stock options to acquire 205 thousand shares for the three and six months ended June 30, 2010 were excluded in the computations of diluted EPS because the effect of including the stock options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LOSS ON LEASE AMENDMENT</w:t>
      </w:r>
    </w:p>
    <w:p>
      <w:pPr>
        <w:spacing w:after="0" w:line="22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On April 28, 2010 the Company entered into an Amendment to its current building lease with Wild Basin. Pursuant to the terms of the amended Lease, the Landlord agreed to reduce the square footage leased by the Company from 137 thousand square feet to 9 thousand square feet for the lease’s remaining three years. In addition, the monthly rent of $299 was reduced to $20 beginning April 1, 2010. In exchange for the rent and square footage reduction, the Company made a one time payment of $1,500 and agreed to forgo approximately $159 of monthly sub-tenant income it received from the excess space under the prior lease. Additionally, the Company forfeited its rights to any potential future net profits interest in the lease. The $1,203 loss consists of the following expenses; the $1,500 lease termination fee, the write-off of $186 of subtenant lease hold improvements and $45 in transaction costs. These expenses were offset by the reversal of the following liabilities; $254 of leasehold advance, $235 of leasehold impairment and $39 of other net liabilities.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following review of Asure’s financial position as of June 30, 2011 and December 31, 2010 and for the three and six months ended June 30, 2011 and 2010 should be read in conjunction with the Company’s 2010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20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(“MRM”),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214" w:lineRule="exact"/>
        <w:rPr>
          <w:sz w:val="20"/>
          <w:szCs w:val="20"/>
          <w:color w:val="auto"/>
        </w:rPr>
      </w:pPr>
    </w:p>
    <w:p>
      <w:pPr>
        <w:jc w:val="both"/>
        <w:ind w:firstLine="1031"/>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Operations for the fiscal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5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FOR THE THREE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rPr>
              <w:t>FOR THE SIX</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5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MONTHS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MONTHS ENDED</w:t>
            </w: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94"/>
              </w:rPr>
              <w:t>JUNE 30,</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4"/>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980" w:type="dxa"/>
            <w:vAlign w:val="bottom"/>
            <w:gridSpan w:val="2"/>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jc w:val="right"/>
              <w:spacing w:after="0"/>
              <w:rPr>
                <w:sz w:val="20"/>
                <w:szCs w:val="20"/>
                <w:color w:val="auto"/>
              </w:rPr>
            </w:pPr>
            <w:r>
              <w:rPr>
                <w:rFonts w:ascii="Arial" w:cs="Arial" w:eastAsia="Arial" w:hAnsi="Arial"/>
                <w:sz w:val="18"/>
                <w:szCs w:val="18"/>
                <w:color w:val="auto"/>
              </w:rPr>
              <w:t>82.0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lease amendment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120.3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 income, net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r>
      <w:tr>
        <w:trPr>
          <w:trHeight w:val="593"/>
        </w:trPr>
        <w:tc>
          <w:tcPr>
            <w:tcW w:w="58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JUNE 30,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Consolidated revenues represent the combined revenues of the Company and its subsidiaries, including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Revenues for the three months ended June 30, 2011 were $2,434 thousand, a decrease of $191 thousand, or 7%, from the $2,625 thousand reported for the three months ended June 30, 2010. This decrease was primarily due to a $113 thousand increase in MRM SaaS revenues, which was offset by a $308 thousand decrease in MRM perpetual license revenue and a $93 decrease in Iemployee Saas revenues, which was primarily due to the conversion of Ceridian customers. and a.</w:t>
      </w:r>
    </w:p>
    <w:p>
      <w:pPr>
        <w:spacing w:after="0" w:line="21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Revenues for the six months ended June 30, 2011 were $4,791 thousand, a decrease of $294 thousand, or 6%, from the $5,085 thousand reported for the six months ended June 30, 2010. This decrease was primarily due to a $197 thousand increase in MRM SaaS revenues which was offset by a $333 thousand decrease in MRM perpetual license revenue and a $177 decrease in Iemployee Saas revenues which was primarily due to the conversion of Ceridian customers.</w:t>
      </w:r>
    </w:p>
    <w:p>
      <w:pPr>
        <w:spacing w:after="0" w:line="214"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Asure will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For example, in 2010, Asure acquired an additional product from its Australian distribution partner. This product, NetSimplicity’s Social View, is available as a complementary product to both Meeting Room Manager On Demand and the perpetual in-house software solution. Social View is a public calendar module that allows read-only access to event and/or room information to the web without user login. Asure also is implementing marketing initiatives, including tailoring its solutions to provide increased value and a simplified purchasing model to targeted customers. As the overall workforce management solutions market continues to experience significant growth related to software as a service (“SaaS”) products, Asure will continue to focus on sales of its MRM and iEmployee SaaS products. Management believes that an economic recovery will facilitate additional revenue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Gross margins for the three months ended June 30, 2011 were $1,997 thousand, a decrease of $126 thousand, or 6%, from the $2,123 thousand reported for the three months ended June 30, 2010. Gross margins as a percentage of revenues were 82% and 81% for the three months ended June 30, 2011 and 2010, respectively. The decrease in gross margins of $126 thousand is primarily due to decrease in revenue for the period.</w:t>
      </w:r>
    </w:p>
    <w:p>
      <w:pPr>
        <w:spacing w:after="0" w:line="193"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Gross margins for the six months ended June 30, 2011 were $3,914 million, a decrease of $31 thousand, or 1%, from the $3,945 thousand reported for the six months ended June 30, 2010. Gross margins as a percentage of revenues were 82% and 78% for the six months ended June 30, 2011 and 2010, respectively. The decrease in gross margins of $31 thousand is primarily due to the reduction in revenues which is offset by an increase in gross margin percentage due to a decrease in lower margin hardware sales and reductions in third party cost of goods sold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Selling, general and administrative(“SG&amp;A”) expenses for the three months ended June 30, 2011 were $1,413 thousand, a decrease of $29 thousand or 2%, from the $1,442 thousand reported for the three months ended June 30, 2010. SG&amp;A expenses as a percentage of revenues were 58% and 55% for the three months ended June 30, 2011 and 2010, respectively. The $29 thousand decrease was due to reduction in compensation and general cost savings in all facets of operations.</w:t>
      </w:r>
    </w:p>
    <w:p>
      <w:pPr>
        <w:spacing w:after="0" w:line="21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Selling, general and administrative (“SG&amp;A”) expenses for the six months ended June 30, 2011 were $2,815 thousand, a decrease of $68 thousand or 2%, from the $2,883 thousand reported for the six months ended June 30, 2010. SG&amp;A expenses as a percentage of revenues were 59% and 57% for the six months ended June 30, 2011 and 2010, respectively. The $68 thousand decrease was primarily driven by business turnaround efforts and other cost reductions.</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Research and development (“R&amp;D”) expenses for the three months ended June 30, 2011 were $393 , an increase of $29 thousand, or 8%, from the $364 thousand reported for the three months ended June 30, 2010. Research and development expenses as a percentage of revenues were 16% and 14% for the three months ended June 30, 2011 and 2010, respectively. The $29 thousand increase in Research and development was due to consulting expenses towards development efforts for future releases and enhancements.</w:t>
      </w:r>
    </w:p>
    <w:p>
      <w:pPr>
        <w:spacing w:after="0" w:line="21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Research and development (“R&amp;D”) expenses for the six months ended June 30, 2011 were $784 thousand, an increase of $78 thousand, or 11%, from the $706 thousand reported for the six months ended June 30, 2010. Research and development expenses as a percentage of revenues were 16% and 14% for the six months ended June 30, 2011 and 2010, respectively. The $78 thousand increase in research and development expenses was primarily due to consulting expenses towards development efforts for future releases and enhancements.</w:t>
      </w:r>
    </w:p>
    <w:p>
      <w:pPr>
        <w:spacing w:after="0" w:line="198"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Asure continues to enhance its workforce management solutions – particularly its Time &amp; Attendance software from the iEmployee product line and its Meeting Room Manager (“MRM”) software from its NetSimplicity product line. Recent enhancements to the Time &amp; Attendance include an additional application programming interface (“API”) delivered via webservices for time collection, which expands the software’s interoperability with various time clocks in addition to Asure’s Easy Touch Time Clock. Additionally, the Company implemented a new line of clocks that contains several forms of data collection including magnetic stripe, barcode, proximity and biometric readers. The expanded interoperability and new line of clocks expanded Time</w:t>
      </w:r>
    </w:p>
    <w:p>
      <w:pPr>
        <w:spacing w:after="0" w:line="2" w:lineRule="exact"/>
        <w:rPr>
          <w:sz w:val="20"/>
          <w:szCs w:val="20"/>
          <w:color w:val="auto"/>
        </w:rPr>
      </w:pPr>
    </w:p>
    <w:p>
      <w:pPr>
        <w:jc w:val="both"/>
        <w:ind w:firstLine="8"/>
        <w:spacing w:after="0" w:line="255" w:lineRule="auto"/>
        <w:tabs>
          <w:tab w:leader="none" w:pos="209"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Attendance’s capabilities to meet various customers’ requirements by increasing the customers’ choices when selecting hardware devices. Asure also added functionality to its Time &amp; Attendance software by developing an automated calculation of the time off accruals and a new flexible pay schedule that allows customers to specify start and end dates and times for multiple different pay periods.</w:t>
      </w:r>
    </w:p>
    <w:p>
      <w:pPr>
        <w:spacing w:after="0" w:line="21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client driven enhancements in 2010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Asure’s development efforts for future releases and enhancements are driven by feedback received from its existing and potential customers and by gauging marketing trends. Management believes it has the appropriate development team to design and further improve its workforce management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Amortization expense for the three months ended June 30, 2011 and 2010 was $150 thousand and $150 thousand, respectively. Amortization expense for the six months ended June 30, 2011 and 2010 was $298 thousand and $299 thousand, respectively. Upon acquiring the iEmployee business in October 2007, Asure recorded several intangible assets, which are being amortized over their estimated useful lives. The amortization expenses during the three and six months ended June 30, 2011 and 2010 relate entirely to these acquired intangible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Asure generated net income of $27 thousand, or $0.01 per share (basic and diluted), during the three months ended June 30, 2011, compared to a net loss of $1,015 thousand or $0.33 per share reported for the three months ended June 30, 2010. Net income as a percentage of total revenues was 1% and net loss as a percentage of total revenues was 39% for the three months ended June 30, 2011 and 2010, respectively.</w:t>
      </w:r>
    </w:p>
    <w:p>
      <w:pPr>
        <w:spacing w:after="0" w:line="16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Asure generated a net loss of $33 thousand, or $0.01 per share (basic and diluted), during the six months ended June 30, 2011, compared to a net loss of $1,203 thousand or $0.39 per share reported for the six months ended June 30, 2010. Net loss as a percentage of total revenues were 1% and 24% for the six months ended June 30, 2011 and 2010,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2010</w:t>
            </w:r>
          </w:p>
        </w:tc>
        <w:tc>
          <w:tcPr>
            <w:tcW w:w="12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by/(used in) operating activities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r>
    </w:tbl>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Working capital was $124 thousand on June 30, 2011, an increase of $971 thousand from $(847) thousand on June 30, 2010. The increase was primarily due to increase in cash of $1,321 thousand offset by increase in current liabilities $314 thousand. The company believes that it can continue to generate positive cash flow as demonstrated by the current quarter and thus continue to increase its available working capital.</w:t>
      </w:r>
    </w:p>
    <w:p>
      <w:pPr>
        <w:spacing w:after="0" w:line="193"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Cash provided by operating activities was $1,016 thousand for the six months ended June 30, 2011 compared to cash used in operating activities of $1,321 thousand for the six months ended June 30, 2010. The increase of cash generated by operations of $2,337 was due primarily to a decrease of $1,170 in net loss, a decrease of lease liabilities of $758 thousand and an increase in the change in deferred revenue of $289.</w:t>
      </w:r>
    </w:p>
    <w:p>
      <w:pPr>
        <w:spacing w:after="0" w:line="19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Cash used by investing activities was $45 thousand for the six months ended June 30, 2011 due to net purchases of property and equipment. Cash used by investing activities was $123 thousand for the six months ended June 30, 2010 due to net purchases of property and equipment. Asure’s current operations are not capital intensive and management does not anticipate any significant capital expenditures during the remainder of calendar year 2011.</w:t>
      </w:r>
    </w:p>
    <w:p>
      <w:pPr>
        <w:spacing w:after="0" w:line="17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Company leases office space and equipment under non-cancelable operating leases that expire at various dates through 2013. Certain leases obligate Asure to pay property taxes, maintenance and insurance and include escalation clauses. The total amount of base rentals over the term of the Company’s leases is charged to expense on a straight-line basis, with the amount of the rental expense in excess of the lease payments recorded as a deferred rent liability. Approximately $420 thousand or 69% of the Company’s total operating lease obligations relate to its corporate office facility at Wild Basin in Austin, Texas.</w:t>
      </w:r>
    </w:p>
    <w:p>
      <w:pPr>
        <w:spacing w:after="0" w:line="21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Management continues to evaluate and reduce any unnecessary expenditure, while continuing to closely monitor all of its cash sources and uses as it manages its operations through the current recession.</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Cash used in financing activities was $24 thousand for the six months ended June 30, 2011 related to payments on capital leases. Cash used in financing activities was $134 thousand for the six months ended June 30, 2010 was related to the repurchase of treasury stock for $110 thousand and payments on capital leases of $24 thousand.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188"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Pursuant to Asure’s stock repurchase plan, the Company is allowed to repurchase up to 300,000 shares (adjusted for the 10 to 1 reverse stock split) of the Company’s common stock. In total, Asure has repurchased 256,107 shares for approximately $5.0 million over the life of the plan. Management will periodically assess repurchasing additional shares, depending on the Company’s cash position, market conditions and other factors.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 of June 30, 2011, Asure’s principal source of liquidity consisted of $2,026 thousand of current cash and cash equivalents as well as future cash generated from operations. The company was able to increase its cash by $651 thousand from the prior quarter due to improved operating results.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187"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2010. For additional information on critical accounting policies, refer to “Management’s Discussion and Analysis” in our 2010 Annual Report on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under the Exchange Act and is not required to provide the information required under this item.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as of June 30, 2011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During the period ended June 30, 2011, there were no changes in the Company’s internal control over financial reporting that have materially affected, or are reasonably likely to materially affect, the Company’s internal control over financial reporting.</w:t>
      </w:r>
    </w:p>
    <w:p>
      <w:pPr>
        <w:spacing w:after="0" w:line="3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ind w:left="340"/>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166"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6.</w:t>
        <w:tab/>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6600" w:type="dxa"/>
            <w:vAlign w:val="bottom"/>
            <w:gridSpan w:val="2"/>
          </w:tcPr>
          <w:p>
            <w:pPr>
              <w:ind w:left="426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6"/>
        </w:trPr>
        <w:tc>
          <w:tcPr>
            <w:tcW w:w="13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6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160" w:type="dxa"/>
            <w:vAlign w:val="bottom"/>
            <w:tcBorders>
              <w:bottom w:val="single" w:sz="8" w:color="0000EE"/>
            </w:tcBorders>
          </w:tcPr>
          <w:p>
            <w:pPr>
              <w:ind w:left="60"/>
              <w:spacing w:after="0"/>
              <w:rPr>
                <w:sz w:val="20"/>
                <w:szCs w:val="20"/>
                <w:color w:val="auto"/>
              </w:rPr>
            </w:pPr>
            <w:r>
              <w:rPr>
                <w:rFonts w:ascii="Arial" w:cs="Arial" w:eastAsia="Arial" w:hAnsi="Arial"/>
                <w:sz w:val="18"/>
                <w:szCs w:val="18"/>
                <w:color w:val="0000EE"/>
                <w:w w:val="90"/>
              </w:rPr>
              <w:t>Sarbanes-Oxley Act of 2002.</w:t>
            </w:r>
          </w:p>
        </w:tc>
        <w:tc>
          <w:tcPr>
            <w:tcW w:w="104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6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160" w:type="dxa"/>
            <w:vAlign w:val="bottom"/>
            <w:tcBorders>
              <w:bottom w:val="single" w:sz="8" w:color="0000EE"/>
            </w:tcBorders>
          </w:tcPr>
          <w:p>
            <w:pPr>
              <w:ind w:left="60"/>
              <w:spacing w:after="0"/>
              <w:rPr>
                <w:sz w:val="20"/>
                <w:szCs w:val="20"/>
                <w:color w:val="auto"/>
              </w:rPr>
            </w:pPr>
            <w:r>
              <w:rPr>
                <w:rFonts w:ascii="Arial" w:cs="Arial" w:eastAsia="Arial" w:hAnsi="Arial"/>
                <w:sz w:val="18"/>
                <w:szCs w:val="18"/>
                <w:color w:val="0000EE"/>
                <w:w w:val="90"/>
              </w:rPr>
              <w:t>Sarbanes-Oxley Act of 2002.</w:t>
            </w:r>
          </w:p>
        </w:tc>
        <w:tc>
          <w:tcPr>
            <w:tcW w:w="1040" w:type="dxa"/>
            <w:vAlign w:val="bottom"/>
          </w:tcPr>
          <w:p>
            <w:pPr>
              <w:spacing w:after="0"/>
              <w:rPr>
                <w:sz w:val="24"/>
                <w:szCs w:val="24"/>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June 30, 2011, formatted in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w w:val="92"/>
              </w:rPr>
              <w:t>XBRL (Extensible Business Reporting Language): (1) the Condensed Consolidated Balance Sheets, (2) the Condensed Consolidated</w:t>
            </w:r>
          </w:p>
        </w:tc>
      </w:tr>
    </w:tbl>
    <w:p>
      <w:pPr>
        <w:ind w:left="1620" w:right="700"/>
        <w:spacing w:after="0" w:line="261" w:lineRule="auto"/>
        <w:rPr>
          <w:sz w:val="20"/>
          <w:szCs w:val="20"/>
          <w:color w:val="auto"/>
        </w:rPr>
      </w:pPr>
      <w:r>
        <w:rPr>
          <w:rFonts w:ascii="Arial" w:cs="Arial" w:eastAsia="Arial" w:hAnsi="Arial"/>
          <w:sz w:val="18"/>
          <w:szCs w:val="18"/>
          <w:color w:val="auto"/>
        </w:rPr>
        <w:t>Statements of Operations, (3) the Condensed Consolidated Statements of Cash Flows, and (4) Notes to Consolidated Financial Statements, tagged as blocks of text.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5215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25730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2"/>
          </w:tcPr>
          <w:p>
            <w:pPr>
              <w:ind w:left="3220"/>
              <w:spacing w:after="0"/>
              <w:rPr>
                <w:sz w:val="20"/>
                <w:szCs w:val="20"/>
                <w:color w:val="auto"/>
              </w:rPr>
            </w:pPr>
            <w:r>
              <w:rPr>
                <w:rFonts w:ascii="Arial" w:cs="Arial" w:eastAsia="Arial" w:hAnsi="Arial"/>
                <w:sz w:val="18"/>
                <w:szCs w:val="18"/>
                <w:b w:val="1"/>
                <w:bCs w:val="1"/>
                <w:color w:val="auto"/>
              </w:rPr>
              <w:t>INDEX TO EXHIBITS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0"/>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6600" w:type="dxa"/>
            <w:vAlign w:val="bottom"/>
            <w:gridSpan w:val="2"/>
          </w:tcPr>
          <w:p>
            <w:pPr>
              <w:ind w:left="426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76"/>
        </w:trPr>
        <w:tc>
          <w:tcPr>
            <w:tcW w:w="13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6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180" w:type="dxa"/>
            <w:vAlign w:val="bottom"/>
            <w:tcBorders>
              <w:bottom w:val="single" w:sz="8" w:color="0000EE"/>
            </w:tcBorders>
            <w:gridSpan w:val="2"/>
          </w:tcPr>
          <w:p>
            <w:pPr>
              <w:ind w:left="60"/>
              <w:spacing w:after="0"/>
              <w:rPr>
                <w:sz w:val="20"/>
                <w:szCs w:val="20"/>
                <w:color w:val="auto"/>
              </w:rPr>
            </w:pPr>
            <w:r>
              <w:rPr>
                <w:rFonts w:ascii="Arial" w:cs="Arial" w:eastAsia="Arial" w:hAnsi="Arial"/>
                <w:sz w:val="18"/>
                <w:szCs w:val="18"/>
                <w:color w:val="0000EE"/>
                <w:w w:val="91"/>
              </w:rPr>
              <w:t>Sarbanes-Oxley Act of 2002.</w:t>
            </w:r>
          </w:p>
        </w:tc>
        <w:tc>
          <w:tcPr>
            <w:tcW w:w="102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6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160" w:type="dxa"/>
            <w:vAlign w:val="bottom"/>
            <w:tcBorders>
              <w:bottom w:val="single" w:sz="8" w:color="0000EE"/>
            </w:tcBorders>
          </w:tcPr>
          <w:p>
            <w:pPr>
              <w:ind w:left="60"/>
              <w:spacing w:after="0"/>
              <w:rPr>
                <w:sz w:val="20"/>
                <w:szCs w:val="20"/>
                <w:color w:val="auto"/>
              </w:rPr>
            </w:pPr>
            <w:r>
              <w:rPr>
                <w:rFonts w:ascii="Arial" w:cs="Arial" w:eastAsia="Arial" w:hAnsi="Arial"/>
                <w:sz w:val="18"/>
                <w:szCs w:val="18"/>
                <w:color w:val="0000EE"/>
                <w:w w:val="90"/>
              </w:rPr>
              <w:t>Sarbanes-Oxley Act of 2002.</w:t>
            </w:r>
          </w:p>
        </w:tc>
        <w:tc>
          <w:tcPr>
            <w:tcW w:w="1040" w:type="dxa"/>
            <w:vAlign w:val="bottom"/>
            <w:gridSpan w:val="2"/>
          </w:tcPr>
          <w:p>
            <w:pPr>
              <w:spacing w:after="0"/>
              <w:rPr>
                <w:sz w:val="24"/>
                <w:szCs w:val="24"/>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June 30, 2011, formatted in</w:t>
            </w:r>
          </w:p>
        </w:tc>
      </w:tr>
    </w:tbl>
    <w:p>
      <w:pPr>
        <w:ind w:left="1620" w:right="240"/>
        <w:spacing w:after="0" w:line="255" w:lineRule="auto"/>
        <w:rPr>
          <w:sz w:val="20"/>
          <w:szCs w:val="20"/>
          <w:color w:val="auto"/>
        </w:rPr>
      </w:pPr>
      <w:r>
        <w:rPr>
          <w:rFonts w:ascii="Arial" w:cs="Arial" w:eastAsia="Arial" w:hAnsi="Arial"/>
          <w:sz w:val="18"/>
          <w:szCs w:val="18"/>
          <w:color w:val="auto"/>
        </w:rPr>
        <w:t>XBRL (Extensible Business Reporting Language): (1) the Condensed Consolidated Balance Sheets, (2) the Condensed Consolidated Statements of Operations, (3) the Condensed Consolidated Statements of Cash Flows, and (4) Notes to Consolidated Financial Statements, tagged as blocks of text.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2"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certify that:</w:t>
      </w:r>
    </w:p>
    <w:p>
      <w:pPr>
        <w:spacing w:after="0" w:line="225"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Asure Software, Inc. (the “Company”);</w:t>
      </w:r>
    </w:p>
    <w:p>
      <w:pPr>
        <w:spacing w:after="0" w:line="225" w:lineRule="exact"/>
        <w:rPr>
          <w:rFonts w:ascii="Arial" w:cs="Arial" w:eastAsia="Arial" w:hAnsi="Arial"/>
          <w:sz w:val="18"/>
          <w:szCs w:val="18"/>
          <w:color w:val="auto"/>
        </w:rPr>
      </w:pPr>
    </w:p>
    <w:p>
      <w:pPr>
        <w:ind w:firstLine="332"/>
        <w:spacing w:after="0" w:line="342"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ind w:right="20" w:firstLine="656"/>
        <w:spacing w:after="0" w:line="308" w:lineRule="auto"/>
        <w:tabs>
          <w:tab w:leader="none" w:pos="936"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7"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2011)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4020" w:val="left"/>
          <w:tab w:leader="none" w:pos="4480" w:val="left"/>
        </w:tabs>
        <w:rPr>
          <w:sz w:val="20"/>
          <w:szCs w:val="20"/>
          <w:color w:val="auto"/>
        </w:rPr>
      </w:pPr>
      <w:r>
        <w:rPr>
          <w:rFonts w:ascii="Arial" w:cs="Arial" w:eastAsia="Arial" w:hAnsi="Arial"/>
          <w:sz w:val="18"/>
          <w:szCs w:val="18"/>
          <w:color w:val="auto"/>
        </w:rPr>
        <w:t>Date: August,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41592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5925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Scoglio,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Asure Software, Inc. (the “Company”);</w:t>
      </w:r>
    </w:p>
    <w:p>
      <w:pPr>
        <w:spacing w:after="0" w:line="225" w:lineRule="exact"/>
        <w:rPr>
          <w:rFonts w:ascii="Arial" w:cs="Arial" w:eastAsia="Arial" w:hAnsi="Arial"/>
          <w:sz w:val="18"/>
          <w:szCs w:val="18"/>
          <w:color w:val="auto"/>
        </w:rPr>
      </w:pPr>
    </w:p>
    <w:p>
      <w:pPr>
        <w:ind w:firstLine="332"/>
        <w:spacing w:after="0" w:line="342" w:lineRule="auto"/>
        <w:tabs>
          <w:tab w:leader="none" w:pos="522"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ind w:right="20" w:firstLine="656"/>
        <w:spacing w:after="0" w:line="308" w:lineRule="auto"/>
        <w:tabs>
          <w:tab w:leader="none" w:pos="936"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7"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2011)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11,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4872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8"/>
        <w:spacing w:after="0" w:line="277"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Asure Software, Inc. for the period ended June 30, 2011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11, 2011</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4872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do hereby certify, pursuant to 18 U.S.C. Section 1350, as adopted by Section 906 of the Sarbanes-Oxley Act of 2002, that:</w:t>
      </w:r>
    </w:p>
    <w:p>
      <w:pPr>
        <w:spacing w:after="0" w:line="225" w:lineRule="exact"/>
        <w:rPr>
          <w:sz w:val="20"/>
          <w:szCs w:val="20"/>
          <w:color w:val="auto"/>
        </w:rPr>
      </w:pPr>
    </w:p>
    <w:p>
      <w:pPr>
        <w:ind w:firstLine="8"/>
        <w:spacing w:after="0" w:line="277"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Asure Software, Inc. for the period ended June 30, 2011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11,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4872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amp;"/>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2019-12-10T10:53:18Z</dcterms:created>
  <dcterms:modified xsi:type="dcterms:W3CDTF">2019-12-10T10:53:18Z</dcterms:modified>
</cp:coreProperties>
</file>