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6.1.0 -->
  <w:body>
    <w:p w:rsidR="00A77B3E">
      <w:pPr>
        <w:keepNext w:val="0"/>
        <w:keepLines/>
        <w:pageBreakBefore w:val="0"/>
        <w:widowControl w:val="0"/>
        <w:numPr>
          <w:ilvl w:val="0"/>
          <w:numId w:val="0"/>
        </w:numPr>
        <w:spacing w:before="0" w:after="0" w:line="288" w:lineRule="auto"/>
        <w:ind w:left="0" w:right="0" w:firstLine="0"/>
        <w:jc w:val="center"/>
        <w:outlineLvl w:val="0"/>
        <w:rPr>
          <w:rFonts w:ascii="Times New Roman" w:eastAsia="Times New Roman" w:hAnsi="Times New Roman" w:cs="Times New Roman"/>
          <w:b/>
          <w:i w:val="0"/>
          <w:sz w:val="20"/>
        </w:rPr>
      </w:pPr>
      <w:bookmarkStart w:id="0" w:name="Section1"/>
      <w:bookmarkEnd w:id="0"/>
      <w:r>
        <w:rPr>
          <w:rFonts w:ascii="Times New Roman" w:eastAsia="Times New Roman" w:hAnsi="Times New Roman" w:cs="Times New Roman"/>
          <w:b/>
          <w:i w:val="0"/>
          <w:sz w:val="20"/>
        </w:rPr>
        <w:t>UNITED STATES</w:t>
      </w:r>
    </w:p>
    <w:p w:rsidR="00A77B3E">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SECURITIES AND EXCHANGE COMMISSION</w:t>
      </w:r>
    </w:p>
    <w:p w:rsidR="00A77B3E">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WASHINGTON, D.C. 20549</w:t>
      </w:r>
    </w:p>
    <w:p w:rsidR="00A77B3E">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rsidR="00A77B3E">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FORM </w:t>
      </w:r>
      <w:r>
        <w:rPr>
          <w:rFonts w:ascii="Times New Roman" w:eastAsia="Times New Roman" w:hAnsi="Times New Roman" w:cs="Times New Roman"/>
          <w:b/>
          <w:i w:val="0"/>
          <w:color w:val="000000"/>
          <w:sz w:val="20"/>
          <w:u w:val="none"/>
        </w:rPr>
        <w:t>10-K</w:t>
      </w:r>
    </w:p>
    <w:p w:rsidR="00A77B3E">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tbl>
      <w:tblPr>
        <w:tblW w:w="1152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05"/>
        <w:gridCol w:w="11115"/>
      </w:tblGrid>
      <w:tr>
        <w:tblPrEx>
          <w:tblW w:w="11520" w:type="dxa"/>
          <w:tblInd w:w="0" w:type="dxa"/>
          <w:tblLayout w:type="fixed"/>
        </w:tblPrEx>
        <w:trPr>
          <w:cantSplit/>
          <w:trHeight w:hRule="exact" w:val="285"/>
        </w:trPr>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1111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Annual Report Pursuant to Section 13 or 15(d) of the Securities Exchange Act of 1934 for the calendar year ended December 31, 2025</w:t>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10"/>
        </w:rPr>
      </w:pPr>
    </w:p>
    <w:tbl>
      <w:tblPr>
        <w:tblW w:w="1152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05"/>
        <w:gridCol w:w="11115"/>
      </w:tblGrid>
      <w:tr>
        <w:tblPrEx>
          <w:tblW w:w="11520" w:type="dxa"/>
          <w:tblInd w:w="0" w:type="dxa"/>
          <w:tblLayout w:type="fixed"/>
        </w:tblPrEx>
        <w:trPr>
          <w:cantSplit/>
          <w:trHeight w:hRule="exact" w:val="285"/>
        </w:trPr>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1111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Transition Report Pursuant to Section 13 or 15(d) of the Securities Exchange Act of 1934 for the transition period from __ to __</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0"/>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1520"/>
      </w:tblGrid>
      <w:tr>
        <w:tblPrEx>
          <w:tblW w:w="11520" w:type="dxa"/>
          <w:tblLayout w:type="fixed"/>
        </w:tblPrEx>
        <w:trPr>
          <w:cantSplit/>
          <w:trHeight w:hRule="exact" w:val="285"/>
        </w:trPr>
        <w:tc>
          <w:tcPr>
            <w:tcW w:w="1152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Commission File Number: 1-34522</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40.5pt">
            <v:imagedata r:id="rId4" o:title=""/>
            <o:lock v:ext="edit" aspectratio="t"/>
          </v:shape>
        </w:pic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single"/>
        </w:rPr>
        <w:t>ASURE SOFTWARE, INC.</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(Exact name of registrant as specified in its charter)</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485"/>
        <w:gridCol w:w="105"/>
        <w:gridCol w:w="2340"/>
        <w:gridCol w:w="105"/>
        <w:gridCol w:w="4485"/>
      </w:tblGrid>
      <w:tr>
        <w:tblPrEx>
          <w:tblW w:w="11520" w:type="dxa"/>
          <w:tblLayout w:type="fixed"/>
        </w:tblPrEx>
        <w:trPr>
          <w:cantSplit/>
          <w:trHeight w:hRule="exact" w:val="315"/>
        </w:trPr>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Delaware</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74-2415696</w:t>
            </w:r>
          </w:p>
        </w:tc>
      </w:tr>
      <w:tr>
        <w:tblPrEx>
          <w:tblW w:w="11520" w:type="dxa"/>
          <w:tblLayout w:type="fixed"/>
        </w:tblPrEx>
        <w:trPr>
          <w:cantSplit/>
          <w:trHeight w:hRule="exact" w:val="315"/>
        </w:trPr>
        <w:tc>
          <w:tcPr>
            <w:tcW w:w="4485" w:type="dxa"/>
            <w:tcBorders>
              <w:top w:val="single" w:sz="8" w:space="0" w:color="000000"/>
              <w:left w:val="nil"/>
              <w:bottom w:val="nil"/>
              <w:right w:val="nil"/>
            </w:tcBorders>
            <w:tcMar>
              <w:top w:w="0" w:type="dxa"/>
              <w:left w:w="53" w:type="dxa"/>
              <w:bottom w:w="0" w:type="dxa"/>
              <w:right w:w="53" w:type="dxa"/>
            </w:tcMar>
            <w:vAlign w:val="top"/>
          </w:tcPr>
          <w:p>
            <w:pPr>
              <w:keepNext/>
              <w:pageBreakBefore w:val="0"/>
              <w:spacing w:before="33" w:after="30" w:line="240" w:lineRule="auto"/>
              <w:jc w:val="center"/>
            </w:pPr>
            <w:r>
              <w:rPr>
                <w:rFonts w:ascii="Times New Roman" w:eastAsia="Times New Roman" w:hAnsi="Times New Roman" w:cs="Times New Roman"/>
                <w:b w:val="0"/>
                <w:i w:val="0"/>
                <w:color w:val="000000"/>
                <w:sz w:val="20"/>
                <w:u w:val="none"/>
              </w:rPr>
              <w:t>(State or other jurisdiction of incorporation)</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single" w:sz="8" w:space="0" w:color="000000"/>
              <w:left w:val="nil"/>
              <w:bottom w:val="nil"/>
              <w:right w:val="nil"/>
            </w:tcBorders>
            <w:tcMar>
              <w:top w:w="0" w:type="dxa"/>
              <w:left w:w="53" w:type="dxa"/>
              <w:bottom w:w="0" w:type="dxa"/>
              <w:right w:w="53" w:type="dxa"/>
            </w:tcMar>
            <w:vAlign w:val="top"/>
          </w:tcPr>
          <w:p>
            <w:pPr>
              <w:keepNext/>
              <w:pageBreakBefore w:val="0"/>
              <w:spacing w:before="33" w:after="30" w:line="240" w:lineRule="auto"/>
              <w:jc w:val="center"/>
            </w:pPr>
            <w:r>
              <w:rPr>
                <w:rFonts w:ascii="Times New Roman" w:eastAsia="Times New Roman" w:hAnsi="Times New Roman" w:cs="Times New Roman"/>
                <w:b w:val="0"/>
                <w:i w:val="0"/>
                <w:color w:val="000000"/>
                <w:sz w:val="20"/>
                <w:u w:val="none"/>
              </w:rPr>
              <w:t>(I.R.S. Employer Identification No.)</w:t>
            </w:r>
          </w:p>
        </w:tc>
      </w:tr>
      <w:tr>
        <w:tblPrEx>
          <w:tblW w:w="11520" w:type="dxa"/>
          <w:tblLayout w:type="fixed"/>
        </w:tblPrEx>
        <w:trPr>
          <w:cantSplit/>
          <w:trHeight w:hRule="exact" w:val="315"/>
        </w:trPr>
        <w:tc>
          <w:tcPr>
            <w:tcW w:w="44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Layout w:type="fixed"/>
        </w:tblPrEx>
        <w:trPr>
          <w:cantSplit/>
          <w:trHeight w:hRule="exact" w:val="315"/>
        </w:trPr>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405 Colorado Street, Suite 1800, Austin, Texas</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78701</w:t>
            </w:r>
          </w:p>
        </w:tc>
      </w:tr>
      <w:tr>
        <w:tblPrEx>
          <w:tblW w:w="11520" w:type="dxa"/>
          <w:tblLayout w:type="fixed"/>
        </w:tblPrEx>
        <w:trPr>
          <w:cantSplit/>
          <w:trHeight w:hRule="exact" w:val="315"/>
        </w:trPr>
        <w:tc>
          <w:tcPr>
            <w:tcW w:w="4485" w:type="dxa"/>
            <w:tcBorders>
              <w:top w:val="single" w:sz="8" w:space="0" w:color="000000"/>
              <w:left w:val="nil"/>
              <w:bottom w:val="nil"/>
              <w:right w:val="nil"/>
            </w:tcBorders>
            <w:tcMar>
              <w:top w:w="0" w:type="dxa"/>
              <w:left w:w="53" w:type="dxa"/>
              <w:bottom w:w="0" w:type="dxa"/>
              <w:right w:w="53" w:type="dxa"/>
            </w:tcMar>
            <w:vAlign w:val="top"/>
          </w:tcPr>
          <w:p>
            <w:pPr>
              <w:pageBreakBefore w:val="0"/>
              <w:spacing w:before="33" w:after="30" w:line="240" w:lineRule="auto"/>
              <w:jc w:val="center"/>
            </w:pPr>
            <w:r>
              <w:rPr>
                <w:rFonts w:ascii="Times New Roman" w:eastAsia="Times New Roman" w:hAnsi="Times New Roman" w:cs="Times New Roman"/>
                <w:b w:val="0"/>
                <w:i w:val="0"/>
                <w:color w:val="000000"/>
                <w:sz w:val="20"/>
                <w:u w:val="none"/>
              </w:rPr>
              <w:t>(Address of principal executive offices)</w:t>
            </w:r>
          </w:p>
        </w:tc>
        <w:tc>
          <w:tcPr>
            <w:tcW w:w="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23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485" w:type="dxa"/>
            <w:tcBorders>
              <w:top w:val="single" w:sz="8" w:space="0" w:color="000000"/>
              <w:left w:val="nil"/>
              <w:bottom w:val="nil"/>
              <w:right w:val="nil"/>
            </w:tcBorders>
            <w:tcMar>
              <w:top w:w="0" w:type="dxa"/>
              <w:left w:w="53" w:type="dxa"/>
              <w:bottom w:w="0" w:type="dxa"/>
              <w:right w:w="53" w:type="dxa"/>
            </w:tcMar>
            <w:vAlign w:val="top"/>
          </w:tcPr>
          <w:p>
            <w:pPr>
              <w:pageBreakBefore w:val="0"/>
              <w:spacing w:before="33" w:after="30" w:line="240" w:lineRule="auto"/>
              <w:jc w:val="center"/>
            </w:pPr>
            <w:r>
              <w:rPr>
                <w:rFonts w:ascii="Times New Roman" w:eastAsia="Times New Roman" w:hAnsi="Times New Roman" w:cs="Times New Roman"/>
                <w:b w:val="0"/>
                <w:i w:val="0"/>
                <w:color w:val="000000"/>
                <w:sz w:val="20"/>
                <w:u w:val="none"/>
              </w:rPr>
              <w:t>(Zip Code)</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10"/>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1520"/>
      </w:tblGrid>
      <w:tr>
        <w:tblPrEx>
          <w:tblW w:w="11520" w:type="dxa"/>
          <w:tblLayout w:type="fixed"/>
        </w:tblPrEx>
        <w:trPr>
          <w:cantSplit/>
          <w:trHeight w:hRule="exact" w:val="315"/>
        </w:trPr>
        <w:tc>
          <w:tcPr>
            <w:tcW w:w="1152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512-437-2700</w:t>
            </w:r>
          </w:p>
        </w:tc>
      </w:tr>
      <w:tr>
        <w:tblPrEx>
          <w:tblW w:w="11520" w:type="dxa"/>
          <w:tblLayout w:type="fixed"/>
        </w:tblPrEx>
        <w:trPr>
          <w:cantSplit/>
          <w:trHeight w:hRule="exact" w:val="315"/>
        </w:trPr>
        <w:tc>
          <w:tcPr>
            <w:tcW w:w="115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(Registrant’s Telephone Number, including Area Code)</w:t>
            </w:r>
          </w:p>
        </w:tc>
      </w:tr>
      <w:tr>
        <w:tblPrEx>
          <w:tblW w:w="11520" w:type="dxa"/>
          <w:tblLayout w:type="fixed"/>
        </w:tblPrEx>
        <w:trPr>
          <w:cantSplit/>
          <w:trHeight w:hRule="exact" w:val="315"/>
        </w:trPr>
        <w:tc>
          <w:tcPr>
            <w:tcW w:w="115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None</w:t>
            </w:r>
          </w:p>
        </w:tc>
      </w:tr>
      <w:tr>
        <w:tblPrEx>
          <w:tblW w:w="11520" w:type="dxa"/>
          <w:tblLayout w:type="fixed"/>
        </w:tblPrEx>
        <w:trPr>
          <w:cantSplit/>
          <w:trHeight w:hRule="exact" w:val="315"/>
        </w:trPr>
        <w:tc>
          <w:tcPr>
            <w:tcW w:w="1152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Times New Roman" w:eastAsia="Times New Roman" w:hAnsi="Times New Roman" w:cs="Times New Roman"/>
                <w:b w:val="0"/>
                <w:i w:val="0"/>
                <w:color w:val="000000"/>
                <w:sz w:val="20"/>
                <w:u w:val="none"/>
              </w:rPr>
              <w:t>(Former name, former address and former fiscal year, if changed since last report)</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color w:val="000000"/>
          <w:sz w:val="20"/>
          <w:u w:val="singl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sz w:val="20"/>
        </w:rPr>
        <w:t>Securities registered pursuant to Section 12(b) of the Act: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single"/>
        </w:rPr>
      </w:pPr>
    </w:p>
    <w:tbl>
      <w:tblPr>
        <w:tblW w:w="1152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485"/>
        <w:gridCol w:w="105"/>
        <w:gridCol w:w="2340"/>
        <w:gridCol w:w="105"/>
        <w:gridCol w:w="4485"/>
      </w:tblGrid>
      <w:tr>
        <w:tblPrEx>
          <w:tblW w:w="11520" w:type="dxa"/>
          <w:tblInd w:w="0" w:type="dxa"/>
          <w:tblLayout w:type="fixed"/>
        </w:tblPrEx>
        <w:trPr>
          <w:cantSplit/>
          <w:trHeight w:hRule="exact" w:val="315"/>
        </w:trPr>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Title of each class</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Trading Symbol(s)</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Name of each exchange on which registered</w:t>
            </w:r>
          </w:p>
        </w:tc>
      </w:tr>
      <w:tr>
        <w:tblPrEx>
          <w:tblW w:w="11520" w:type="dxa"/>
          <w:tblInd w:w="0" w:type="dxa"/>
          <w:tblLayout w:type="fixed"/>
        </w:tblPrEx>
        <w:trPr>
          <w:cantSplit/>
          <w:trHeight w:hRule="exact" w:val="315"/>
        </w:trPr>
        <w:tc>
          <w:tcPr>
            <w:tcW w:w="4485" w:type="dxa"/>
            <w:tcBorders>
              <w:top w:val="single" w:sz="8" w:space="0" w:color="000000"/>
              <w:left w:val="nil"/>
              <w:bottom w:val="nil"/>
              <w:right w:val="nil"/>
            </w:tcBorders>
            <w:tcMar>
              <w:top w:w="0" w:type="dxa"/>
              <w:left w:w="53" w:type="dxa"/>
              <w:bottom w:w="0" w:type="dxa"/>
              <w:right w:w="53" w:type="dxa"/>
            </w:tcMar>
            <w:vAlign w:val="top"/>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Common Stock, $0.01 par value</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single" w:sz="8" w:space="0" w:color="000000"/>
              <w:left w:val="nil"/>
              <w:bottom w:val="nil"/>
              <w:right w:val="nil"/>
            </w:tcBorders>
            <w:tcMar>
              <w:top w:w="0" w:type="dxa"/>
              <w:left w:w="53" w:type="dxa"/>
              <w:bottom w:w="0" w:type="dxa"/>
              <w:right w:w="53" w:type="dxa"/>
            </w:tcMar>
            <w:vAlign w:val="top"/>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ASUR</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single" w:sz="8" w:space="0" w:color="000000"/>
              <w:left w:val="nil"/>
              <w:bottom w:val="nil"/>
              <w:right w:val="nil"/>
            </w:tcBorders>
            <w:tcMar>
              <w:top w:w="0" w:type="dxa"/>
              <w:left w:w="53" w:type="dxa"/>
              <w:bottom w:w="0" w:type="dxa"/>
              <w:right w:w="53" w:type="dxa"/>
            </w:tcMar>
            <w:vAlign w:val="top"/>
          </w:tcPr>
          <w:p>
            <w:pPr>
              <w:keepNext/>
              <w:pageBreakBefore w:val="0"/>
              <w:numPr>
                <w:ilvl w:val="0"/>
                <w:numId w:val="0"/>
              </w:numPr>
              <w:spacing w:before="33" w:after="3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The Nasdaq Capital Market</w:t>
            </w:r>
          </w:p>
        </w:tc>
      </w:tr>
      <w:tr>
        <w:tblPrEx>
          <w:tblW w:w="11520" w:type="dxa"/>
          <w:tblInd w:w="0" w:type="dxa"/>
          <w:tblLayout w:type="fixed"/>
        </w:tblPrEx>
        <w:trPr>
          <w:cantSplit/>
          <w:trHeight w:hRule="exact" w:val="465"/>
        </w:trPr>
        <w:tc>
          <w:tcPr>
            <w:tcW w:w="448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Times New Roman" w:eastAsia="Times New Roman" w:hAnsi="Times New Roman" w:cs="Times New Roman"/>
                <w:b/>
                <w:i w:val="0"/>
                <w:color w:val="000000"/>
                <w:sz w:val="20"/>
                <w:u w:val="none"/>
              </w:rPr>
              <w:t>Series A Junior Participating Preferred Share Purchase Rights</w:t>
            </w:r>
          </w:p>
        </w:tc>
        <w:tc>
          <w:tcPr>
            <w:tcW w:w="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234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p>
        </w:tc>
        <w:tc>
          <w:tcPr>
            <w:tcW w:w="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48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Times New Roman" w:eastAsia="Times New Roman" w:hAnsi="Times New Roman" w:cs="Times New Roman"/>
                <w:b/>
                <w:i w:val="0"/>
                <w:color w:val="000000"/>
                <w:sz w:val="20"/>
                <w:u w:val="none"/>
              </w:rPr>
              <w:t>N/A</w:t>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Securities registered pursuant to Section 12(g) of the Act: None.</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tbl>
      <w:tblPr>
        <w:tblW w:w="11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9360"/>
        <w:gridCol w:w="360"/>
        <w:gridCol w:w="720"/>
        <w:gridCol w:w="360"/>
        <w:gridCol w:w="720"/>
      </w:tblGrid>
      <w:tr>
        <w:tblPrEx>
          <w:tblW w:w="11520" w:type="dxa"/>
          <w:tblInd w:w="0" w:type="dxa"/>
          <w:tblLayout w:type="fixed"/>
        </w:tblPrEx>
        <w:trPr>
          <w:cantSplit/>
          <w:trHeight w:hRule="exact" w:val="315"/>
        </w:trPr>
        <w:tc>
          <w:tcPr>
            <w:tcW w:w="11520" w:type="dxa"/>
            <w:gridSpan w:val="5"/>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Indicate by check mark if the registrant is a well-known seasoned issuer, as defined in Rule 405 of the Securities Act.</w:t>
            </w:r>
          </w:p>
        </w:tc>
      </w:tr>
      <w:tr>
        <w:tblPrEx>
          <w:tblW w:w="11520" w:type="dxa"/>
          <w:tblInd w:w="0" w:type="dxa"/>
          <w:tblLayout w:type="fixed"/>
        </w:tblPrEx>
        <w:trPr>
          <w:cantSplit/>
          <w:trHeight w:hRule="exact" w:val="315"/>
        </w:trPr>
        <w:tc>
          <w:tcPr>
            <w:tcW w:w="9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Yes</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w:t>
            </w:r>
          </w:p>
        </w:tc>
      </w:tr>
      <w:tr>
        <w:tblPrEx>
          <w:tblW w:w="11520" w:type="dxa"/>
          <w:tblInd w:w="0" w:type="dxa"/>
          <w:tblLayout w:type="fixed"/>
        </w:tblPrEx>
        <w:trPr>
          <w:cantSplit/>
          <w:trHeight w:hRule="exact" w:val="315"/>
        </w:trPr>
        <w:tc>
          <w:tcPr>
            <w:tcW w:w="11520" w:type="dxa"/>
            <w:gridSpan w:val="5"/>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Indicate by check mark if the registrant is not required to file reports pursuant to Section 13 or Section 15(d) of the Act.</w:t>
            </w:r>
          </w:p>
        </w:tc>
      </w:tr>
      <w:tr>
        <w:tblPrEx>
          <w:tblW w:w="11520" w:type="dxa"/>
          <w:tblInd w:w="0" w:type="dxa"/>
          <w:tblLayout w:type="fixed"/>
        </w:tblPrEx>
        <w:trPr>
          <w:cantSplit/>
          <w:trHeight w:hRule="exact" w:val="315"/>
        </w:trPr>
        <w:tc>
          <w:tcPr>
            <w:tcW w:w="9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Yes</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w:t>
            </w:r>
          </w:p>
        </w:tc>
      </w:tr>
      <w:tr>
        <w:tblPrEx>
          <w:tblW w:w="11520" w:type="dxa"/>
          <w:tblInd w:w="0" w:type="dxa"/>
          <w:tblLayout w:type="fixed"/>
        </w:tblPrEx>
        <w:trPr>
          <w:cantSplit/>
          <w:trHeight w:hRule="exact" w:val="315"/>
        </w:trPr>
        <w:tc>
          <w:tcPr>
            <w:tcW w:w="11520" w:type="dxa"/>
            <w:gridSpan w:val="5"/>
            <w:vMerge w:val="restart"/>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w:t>
            </w:r>
          </w:p>
        </w:tc>
      </w:tr>
      <w:tr>
        <w:tblPrEx>
          <w:tblW w:w="11520" w:type="dxa"/>
          <w:tblInd w:w="0" w:type="dxa"/>
          <w:tblLayout w:type="fixed"/>
        </w:tblPrEx>
        <w:trPr>
          <w:cantSplit/>
          <w:trHeight w:hRule="exact" w:val="315"/>
        </w:trPr>
        <w:tc>
          <w:tcPr>
            <w:tcW w:w="11520" w:type="dxa"/>
            <w:gridSpan w:val="5"/>
            <w:vMerge/>
            <w:tcBorders>
              <w:top w:val="nil"/>
              <w:left w:val="nil"/>
              <w:bottom w:val="nil"/>
              <w:right w:val="nil"/>
            </w:tcBorders>
          </w:tcPr>
          <w:p>
            <w:pPr>
              <w:keepNext/>
              <w:pageBreakBefore w:val="0"/>
            </w:pPr>
          </w:p>
        </w:tc>
      </w:tr>
      <w:tr>
        <w:tblPrEx>
          <w:tblW w:w="11520" w:type="dxa"/>
          <w:tblInd w:w="0" w:type="dxa"/>
          <w:tblLayout w:type="fixed"/>
        </w:tblPrEx>
        <w:trPr>
          <w:cantSplit/>
          <w:trHeight w:hRule="exact" w:val="315"/>
        </w:trPr>
        <w:tc>
          <w:tcPr>
            <w:tcW w:w="9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Yes</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w:t>
            </w:r>
          </w:p>
        </w:tc>
      </w:tr>
      <w:tr>
        <w:tblPrEx>
          <w:tblW w:w="11520" w:type="dxa"/>
          <w:tblInd w:w="0" w:type="dxa"/>
          <w:tblLayout w:type="fixed"/>
        </w:tblPrEx>
        <w:trPr>
          <w:cantSplit/>
          <w:trHeight w:hRule="exact" w:val="315"/>
        </w:trPr>
        <w:tc>
          <w:tcPr>
            <w:tcW w:w="11520" w:type="dxa"/>
            <w:gridSpan w:val="5"/>
            <w:vMerge w:val="restart"/>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w:t>
            </w:r>
          </w:p>
        </w:tc>
      </w:tr>
      <w:tr>
        <w:tblPrEx>
          <w:tblW w:w="11520" w:type="dxa"/>
          <w:tblInd w:w="0" w:type="dxa"/>
          <w:tblLayout w:type="fixed"/>
        </w:tblPrEx>
        <w:trPr>
          <w:cantSplit/>
          <w:trHeight w:hRule="exact" w:val="315"/>
        </w:trPr>
        <w:tc>
          <w:tcPr>
            <w:tcW w:w="11520" w:type="dxa"/>
            <w:gridSpan w:val="5"/>
            <w:vMerge/>
            <w:tcBorders>
              <w:top w:val="nil"/>
              <w:left w:val="nil"/>
              <w:bottom w:val="nil"/>
              <w:right w:val="nil"/>
            </w:tcBorders>
          </w:tcPr>
          <w:p>
            <w:pPr>
              <w:keepNext/>
              <w:pageBreakBefore w:val="0"/>
            </w:pPr>
          </w:p>
        </w:tc>
      </w:tr>
      <w:tr>
        <w:tblPrEx>
          <w:tblW w:w="11520" w:type="dxa"/>
          <w:tblInd w:w="0" w:type="dxa"/>
          <w:tblLayout w:type="fixed"/>
        </w:tblPrEx>
        <w:trPr>
          <w:cantSplit/>
          <w:trHeight w:hRule="exact" w:val="315"/>
        </w:trPr>
        <w:tc>
          <w:tcPr>
            <w:tcW w:w="936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Yes</w:t>
            </w:r>
          </w:p>
        </w:tc>
        <w:tc>
          <w:tcPr>
            <w:tcW w:w="36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No</w:t>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0"/>
        </w:rPr>
      </w:pPr>
    </w:p>
    <w:tbl>
      <w:tblPr>
        <w:tblW w:w="11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295"/>
        <w:gridCol w:w="360"/>
        <w:gridCol w:w="3105"/>
        <w:gridCol w:w="2295"/>
        <w:gridCol w:w="360"/>
        <w:gridCol w:w="3105"/>
      </w:tblGrid>
      <w:tr>
        <w:tblPrEx>
          <w:tblW w:w="11520" w:type="dxa"/>
          <w:tblInd w:w="0" w:type="dxa"/>
          <w:tblLayout w:type="fixed"/>
        </w:tblPrEx>
        <w:trPr>
          <w:cantSplit/>
          <w:trHeight w:hRule="exact" w:val="315"/>
        </w:trPr>
        <w:tc>
          <w:tcPr>
            <w:tcW w:w="11520" w:type="dxa"/>
            <w:gridSpan w:val="6"/>
            <w:vMerge w:val="restart"/>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p>
        </w:tc>
      </w:tr>
      <w:tr>
        <w:tblPrEx>
          <w:tblW w:w="11520" w:type="dxa"/>
          <w:tblInd w:w="0" w:type="dxa"/>
          <w:tblLayout w:type="fixed"/>
        </w:tblPrEx>
        <w:trPr>
          <w:cantSplit/>
          <w:trHeight w:hRule="exact" w:val="315"/>
        </w:trPr>
        <w:tc>
          <w:tcPr>
            <w:tcW w:w="11520" w:type="dxa"/>
            <w:gridSpan w:val="6"/>
            <w:vMerge/>
            <w:tcBorders>
              <w:top w:val="nil"/>
              <w:left w:val="nil"/>
              <w:bottom w:val="nil"/>
              <w:right w:val="nil"/>
            </w:tcBorders>
          </w:tcPr>
          <w:p>
            <w:pPr>
              <w:keepNext/>
              <w:pageBreakBefore w:val="0"/>
            </w:pPr>
          </w:p>
        </w:tc>
      </w:tr>
      <w:tr>
        <w:tblPrEx>
          <w:tblW w:w="11520" w:type="dxa"/>
          <w:tblInd w:w="0" w:type="dxa"/>
          <w:tblLayout w:type="fixed"/>
        </w:tblPrEx>
        <w:trPr>
          <w:cantSplit/>
          <w:trHeight w:hRule="exact" w:val="315"/>
        </w:trPr>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Large accelerated filer</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3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Accelerated filer</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3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Ind w:w="0" w:type="dxa"/>
          <w:tblLayout w:type="fixed"/>
        </w:tblPrEx>
        <w:trPr>
          <w:cantSplit/>
          <w:trHeight w:hRule="exact" w:val="315"/>
        </w:trPr>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Non-accelerated filer</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3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Smaller reporting company</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3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Ind w:w="0" w:type="dxa"/>
          <w:tblLayout w:type="fixed"/>
        </w:tblPrEx>
        <w:trPr>
          <w:cantSplit/>
          <w:trHeight w:hRule="exact" w:val="315"/>
        </w:trPr>
        <w:tc>
          <w:tcPr>
            <w:tcW w:w="22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6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229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Emerging growth company</w:t>
            </w:r>
          </w:p>
        </w:tc>
        <w:tc>
          <w:tcPr>
            <w:tcW w:w="36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3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0"/>
        </w:rPr>
      </w:pPr>
    </w:p>
    <w:tbl>
      <w:tblPr>
        <w:tblW w:w="11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9360"/>
        <w:gridCol w:w="360"/>
        <w:gridCol w:w="720"/>
        <w:gridCol w:w="360"/>
        <w:gridCol w:w="720"/>
      </w:tblGrid>
      <w:tr>
        <w:tblPrEx>
          <w:tblW w:w="11520" w:type="dxa"/>
          <w:tblInd w:w="0" w:type="dxa"/>
          <w:tblLayout w:type="fixed"/>
        </w:tblPrEx>
        <w:trPr>
          <w:cantSplit/>
          <w:trHeight w:hRule="exact" w:val="315"/>
        </w:trPr>
        <w:tc>
          <w:tcPr>
            <w:tcW w:w="11520" w:type="dxa"/>
            <w:gridSpan w:val="5"/>
            <w:vMerge w:val="restart"/>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If an emerging growth company, indicate by check mark if the registrant has elected not to use the extended transition period for complying with any new or revised financial accounting standards provided pursuant to Section 13(a) of the Exchange Act.</w:t>
            </w:r>
          </w:p>
        </w:tc>
      </w:tr>
      <w:tr>
        <w:tblPrEx>
          <w:tblW w:w="11520" w:type="dxa"/>
          <w:tblInd w:w="0" w:type="dxa"/>
          <w:tblLayout w:type="fixed"/>
        </w:tblPrEx>
        <w:trPr>
          <w:cantSplit/>
          <w:trHeight w:hRule="exact" w:val="315"/>
        </w:trPr>
        <w:tc>
          <w:tcPr>
            <w:tcW w:w="11520" w:type="dxa"/>
            <w:gridSpan w:val="5"/>
            <w:vMerge/>
            <w:tcBorders>
              <w:top w:val="nil"/>
              <w:left w:val="nil"/>
              <w:bottom w:val="nil"/>
              <w:right w:val="nil"/>
            </w:tcBorders>
          </w:tcPr>
          <w:p>
            <w:pPr>
              <w:keepNext/>
              <w:pageBreakBefore w:val="0"/>
            </w:pPr>
          </w:p>
        </w:tc>
      </w:tr>
      <w:tr>
        <w:tblPrEx>
          <w:tblW w:w="11520" w:type="dxa"/>
          <w:tblInd w:w="0" w:type="dxa"/>
          <w:tblLayout w:type="fixed"/>
        </w:tblPrEx>
        <w:trPr>
          <w:cantSplit/>
          <w:trHeight w:hRule="exact" w:val="315"/>
        </w:trPr>
        <w:tc>
          <w:tcPr>
            <w:tcW w:w="9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Ind w:w="0" w:type="dxa"/>
          <w:tblLayout w:type="fixed"/>
        </w:tblPrEx>
        <w:trPr>
          <w:cantSplit/>
          <w:trHeight w:hRule="exact" w:val="315"/>
        </w:trPr>
        <w:tc>
          <w:tcPr>
            <w:tcW w:w="11520" w:type="dxa"/>
            <w:gridSpan w:val="5"/>
            <w:vMerge w:val="restart"/>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69"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Indicate by check mark whether the registrant has filed a report on and attestation to its management’s assessment of the effectiveness of its internal control over financial reporting under Section 404(b) of the Sarbanes-Oxley Act (15 U.S.C. 7262(b)) by the registered public accounting firm that prepared or issued its audit report.</w:t>
            </w:r>
          </w:p>
        </w:tc>
      </w:tr>
      <w:tr>
        <w:tblPrEx>
          <w:tblW w:w="11520" w:type="dxa"/>
          <w:tblInd w:w="0" w:type="dxa"/>
          <w:tblLayout w:type="fixed"/>
        </w:tblPrEx>
        <w:trPr>
          <w:cantSplit/>
          <w:trHeight w:hRule="exact" w:val="315"/>
        </w:trPr>
        <w:tc>
          <w:tcPr>
            <w:tcW w:w="11520" w:type="dxa"/>
            <w:gridSpan w:val="5"/>
            <w:vMerge/>
            <w:tcBorders>
              <w:top w:val="nil"/>
              <w:left w:val="nil"/>
              <w:bottom w:val="nil"/>
              <w:right w:val="nil"/>
            </w:tcBorders>
          </w:tcPr>
          <w:p>
            <w:pPr>
              <w:keepNext/>
              <w:pageBreakBefore w:val="0"/>
            </w:pPr>
          </w:p>
        </w:tc>
      </w:tr>
      <w:tr>
        <w:tblPrEx>
          <w:tblW w:w="11520" w:type="dxa"/>
          <w:tblInd w:w="0" w:type="dxa"/>
          <w:tblLayout w:type="fixed"/>
        </w:tblPrEx>
        <w:trPr>
          <w:cantSplit/>
          <w:trHeight w:hRule="exact" w:val="315"/>
        </w:trPr>
        <w:tc>
          <w:tcPr>
            <w:tcW w:w="11520" w:type="dxa"/>
            <w:gridSpan w:val="5"/>
            <w:vMerge/>
            <w:tcBorders>
              <w:top w:val="nil"/>
              <w:left w:val="nil"/>
              <w:bottom w:val="nil"/>
              <w:right w:val="nil"/>
            </w:tcBorders>
          </w:tcPr>
          <w:p>
            <w:pPr>
              <w:keepNext/>
              <w:pageBreakBefore w:val="0"/>
            </w:pPr>
          </w:p>
        </w:tc>
      </w:tr>
      <w:tr>
        <w:tblPrEx>
          <w:tblW w:w="11520" w:type="dxa"/>
          <w:tblInd w:w="0" w:type="dxa"/>
          <w:tblLayout w:type="fixed"/>
        </w:tblPrEx>
        <w:trPr>
          <w:cantSplit/>
          <w:trHeight w:hRule="exact" w:val="315"/>
        </w:trPr>
        <w:tc>
          <w:tcPr>
            <w:tcW w:w="9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Ind w:w="0" w:type="dxa"/>
          <w:tblLayout w:type="fixed"/>
        </w:tblPrEx>
        <w:trPr>
          <w:cantSplit/>
          <w:trHeight w:hRule="exact" w:val="315"/>
        </w:trPr>
        <w:tc>
          <w:tcPr>
            <w:tcW w:w="11520" w:type="dxa"/>
            <w:gridSpan w:val="5"/>
            <w:vMerge w:val="restart"/>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If securities are registered pursuant to Section 12(b) of the Act, indicate by check mark whether the financial statements of the registrant included in the filing reflect the correction of an error to previously issued financial statements.</w:t>
            </w:r>
          </w:p>
        </w:tc>
      </w:tr>
      <w:tr>
        <w:tblPrEx>
          <w:tblW w:w="11520" w:type="dxa"/>
          <w:tblInd w:w="0" w:type="dxa"/>
          <w:tblLayout w:type="fixed"/>
        </w:tblPrEx>
        <w:trPr>
          <w:cantSplit/>
          <w:trHeight w:hRule="exact" w:val="315"/>
        </w:trPr>
        <w:tc>
          <w:tcPr>
            <w:tcW w:w="11520" w:type="dxa"/>
            <w:gridSpan w:val="5"/>
            <w:vMerge/>
            <w:tcBorders>
              <w:top w:val="nil"/>
              <w:left w:val="nil"/>
              <w:bottom w:val="nil"/>
              <w:right w:val="nil"/>
            </w:tcBorders>
          </w:tcPr>
          <w:p>
            <w:pPr>
              <w:keepNext/>
              <w:pageBreakBefore w:val="0"/>
            </w:pPr>
          </w:p>
        </w:tc>
      </w:tr>
      <w:tr>
        <w:tblPrEx>
          <w:tblW w:w="11520" w:type="dxa"/>
          <w:tblInd w:w="0" w:type="dxa"/>
          <w:tblLayout w:type="fixed"/>
        </w:tblPrEx>
        <w:trPr>
          <w:cantSplit/>
          <w:trHeight w:hRule="exact" w:val="315"/>
        </w:trPr>
        <w:tc>
          <w:tcPr>
            <w:tcW w:w="9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Ind w:w="0" w:type="dxa"/>
          <w:tblLayout w:type="fixed"/>
        </w:tblPrEx>
        <w:trPr>
          <w:cantSplit/>
          <w:trHeight w:hRule="exact" w:val="315"/>
        </w:trPr>
        <w:tc>
          <w:tcPr>
            <w:tcW w:w="11520" w:type="dxa"/>
            <w:gridSpan w:val="5"/>
            <w:vMerge w:val="restart"/>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Indicate by check mark whether any of those error corrections are restatements that required a recovery analysis of incentive-based compensation received by any of the registrant’s executive officers during the relevant recovery period pursuant to §240.10D-1(b).</w:t>
            </w:r>
          </w:p>
        </w:tc>
      </w:tr>
      <w:tr>
        <w:tblPrEx>
          <w:tblW w:w="11520" w:type="dxa"/>
          <w:tblInd w:w="0" w:type="dxa"/>
          <w:tblLayout w:type="fixed"/>
        </w:tblPrEx>
        <w:trPr>
          <w:cantSplit/>
          <w:trHeight w:hRule="exact" w:val="315"/>
        </w:trPr>
        <w:tc>
          <w:tcPr>
            <w:tcW w:w="11520" w:type="dxa"/>
            <w:gridSpan w:val="5"/>
            <w:vMerge/>
            <w:tcBorders>
              <w:top w:val="nil"/>
              <w:left w:val="nil"/>
              <w:bottom w:val="nil"/>
              <w:right w:val="nil"/>
            </w:tcBorders>
          </w:tcPr>
          <w:p>
            <w:pPr>
              <w:keepNext/>
              <w:pageBreakBefore w:val="0"/>
            </w:pPr>
          </w:p>
        </w:tc>
      </w:tr>
      <w:tr>
        <w:tblPrEx>
          <w:tblW w:w="11520" w:type="dxa"/>
          <w:tblInd w:w="0" w:type="dxa"/>
          <w:tblLayout w:type="fixed"/>
        </w:tblPrEx>
        <w:trPr>
          <w:cantSplit/>
          <w:trHeight w:hRule="exact" w:val="315"/>
        </w:trPr>
        <w:tc>
          <w:tcPr>
            <w:tcW w:w="9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Ind w:w="0" w:type="dxa"/>
          <w:tblLayout w:type="fixed"/>
        </w:tblPrEx>
        <w:trPr>
          <w:cantSplit/>
          <w:trHeight w:hRule="exact" w:val="315"/>
        </w:trPr>
        <w:tc>
          <w:tcPr>
            <w:tcW w:w="9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Indicate by check mark whether the registrant is a shell company (as defined in Rule 12b-2 of the Exchange Act).</w:t>
            </w:r>
          </w:p>
        </w:tc>
        <w:tc>
          <w:tcPr>
            <w:tcW w:w="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Ind w:w="0" w:type="dxa"/>
          <w:tblLayout w:type="fixed"/>
        </w:tblPrEx>
        <w:trPr>
          <w:cantSplit/>
          <w:trHeight w:hRule="exact" w:val="315"/>
        </w:trPr>
        <w:tc>
          <w:tcPr>
            <w:tcW w:w="936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Yes</w:t>
            </w:r>
          </w:p>
        </w:tc>
        <w:tc>
          <w:tcPr>
            <w:tcW w:w="36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No</w:t>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Based on the closing sale price of common stock on The Nasdaq Global Select Market o</w:t>
      </w:r>
      <w:r>
        <w:rPr>
          <w:rFonts w:ascii="Times New Roman" w:eastAsia="Times New Roman" w:hAnsi="Times New Roman" w:cs="Times New Roman"/>
          <w:b w:val="0"/>
          <w:i w:val="0"/>
          <w:color w:val="000000"/>
          <w:sz w:val="20"/>
          <w:highlight w:val="white"/>
          <w:u w:val="none"/>
        </w:rPr>
        <w:t xml:space="preserve">n June 30, </w:t>
      </w:r>
      <w:r>
        <w:rPr>
          <w:rFonts w:ascii="Times New Roman" w:eastAsia="Times New Roman" w:hAnsi="Times New Roman" w:cs="Times New Roman"/>
          <w:b w:val="0"/>
          <w:i w:val="0"/>
          <w:sz w:val="20"/>
        </w:rPr>
        <w:t>2025</w:t>
      </w:r>
      <w:r>
        <w:rPr>
          <w:rFonts w:ascii="Times New Roman" w:eastAsia="Times New Roman" w:hAnsi="Times New Roman" w:cs="Times New Roman"/>
          <w:b w:val="0"/>
          <w:i w:val="0"/>
          <w:color w:val="000000"/>
          <w:sz w:val="20"/>
          <w:highlight w:val="white"/>
          <w:u w:val="none"/>
        </w:rPr>
        <w:t>, the aggre</w:t>
      </w:r>
      <w:r>
        <w:rPr>
          <w:rFonts w:ascii="Times New Roman" w:eastAsia="Times New Roman" w:hAnsi="Times New Roman" w:cs="Times New Roman"/>
          <w:b w:val="0"/>
          <w:i w:val="0"/>
          <w:sz w:val="20"/>
        </w:rPr>
        <w:t xml:space="preserve">gate market value of the voting stock held by non-affiliates of the registrant was </w:t>
      </w:r>
      <w:r>
        <w:rPr>
          <w:rFonts w:ascii="Times New Roman" w:eastAsia="Times New Roman" w:hAnsi="Times New Roman" w:cs="Times New Roman"/>
          <w:b w:val="0"/>
          <w:i w:val="0"/>
          <w:color w:val="000000"/>
          <w:sz w:val="20"/>
          <w:u w:val="none"/>
        </w:rPr>
        <w:t>$250,308,366</w:t>
      </w:r>
      <w:r>
        <w:rPr>
          <w:rFonts w:ascii="Times New Roman" w:eastAsia="Times New Roman" w:hAnsi="Times New Roman" w:cs="Times New Roman"/>
          <w:b w:val="0"/>
          <w:i w:val="0"/>
          <w:sz w:val="20"/>
        </w:rPr>
        <w:t xml:space="preserve"> as of such date, which assumes, for purposes of this calculation only, that all shares of common stock beneficially held by officers and directors of the registrant are shares owned by “affiliates.”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As of February 25, 2026, 28,373,354 sha</w:t>
      </w:r>
      <w:r>
        <w:rPr>
          <w:rFonts w:ascii="Times New Roman" w:eastAsia="Times New Roman" w:hAnsi="Times New Roman" w:cs="Times New Roman"/>
          <w:b w:val="0"/>
          <w:i w:val="0"/>
          <w:color w:val="000000"/>
          <w:sz w:val="20"/>
          <w:highlight w:val="white"/>
          <w:u w:val="none"/>
        </w:rPr>
        <w:t xml:space="preserve">res of </w:t>
      </w:r>
      <w:r>
        <w:rPr>
          <w:rFonts w:ascii="Times New Roman" w:eastAsia="Times New Roman" w:hAnsi="Times New Roman" w:cs="Times New Roman"/>
          <w:b w:val="0"/>
          <w:i w:val="0"/>
          <w:sz w:val="20"/>
        </w:rPr>
        <w:t>the registrant’s Common Stock, $0.01 par value, were outstanding.</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DOCUMENTS INCORPORATED BY REFERENCE</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Portions of the registrant’s definitive Proxy Statement relating to its</w:t>
      </w:r>
      <w:r>
        <w:rPr>
          <w:rFonts w:ascii="Times New Roman" w:eastAsia="Times New Roman" w:hAnsi="Times New Roman" w:cs="Times New Roman"/>
          <w:b w:val="0"/>
          <w:i w:val="0"/>
          <w:color w:val="000000"/>
          <w:sz w:val="20"/>
          <w:highlight w:val="white"/>
          <w:u w:val="none"/>
        </w:rPr>
        <w:t xml:space="preserve"> </w:t>
      </w:r>
      <w:r>
        <w:rPr>
          <w:rFonts w:ascii="Times New Roman" w:eastAsia="Times New Roman" w:hAnsi="Times New Roman" w:cs="Times New Roman"/>
          <w:b w:val="0"/>
          <w:i w:val="0"/>
          <w:color w:val="000000"/>
          <w:sz w:val="20"/>
          <w:u w:val="none"/>
        </w:rPr>
        <w:t>2026</w:t>
      </w:r>
      <w:r>
        <w:rPr>
          <w:rFonts w:ascii="Times New Roman" w:eastAsia="Times New Roman" w:hAnsi="Times New Roman" w:cs="Times New Roman"/>
          <w:b w:val="0"/>
          <w:i w:val="0"/>
          <w:color w:val="000000"/>
          <w:sz w:val="20"/>
          <w:highlight w:val="white"/>
          <w:u w:val="none"/>
        </w:rPr>
        <w:t xml:space="preserve"> Annual Meeting of Shareholders </w:t>
      </w:r>
      <w:r>
        <w:rPr>
          <w:rFonts w:ascii="Times New Roman" w:eastAsia="Times New Roman" w:hAnsi="Times New Roman" w:cs="Times New Roman"/>
          <w:b w:val="0"/>
          <w:i w:val="0"/>
          <w:color w:val="000000"/>
          <w:sz w:val="20"/>
          <w:u w:val="none"/>
        </w:rPr>
        <w:t>are incorporated by reference into Part III of this Annual Report on Form 10-K where indicated. Such Proxy Statement, or an amendment to this report containing the Items comprising Part III, will be filed with the U.S. Securities and Exchange Commission within 120 days after the end of the fiscal year to which this report relates.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sectPr>
          <w:headerReference w:type="default" r:id="rId5"/>
          <w:footerReference w:type="default" r:id="rId6"/>
          <w:headerReference w:type="first" r:id="rId7"/>
          <w:footerReference w:type="first" r:id="rId8"/>
          <w:type w:val="continuous"/>
          <w:pgSz w:w="12240" w:h="15840"/>
          <w:pgMar w:top="495" w:right="360" w:bottom="495" w:left="360" w:header="0" w:footer="0" w:gutter="0"/>
          <w:cols w:space="708"/>
          <w:titlePg/>
          <w:docGrid w:linePitch="360"/>
        </w:sectPr>
      </w:pPr>
    </w:p>
    <w:p>
      <w:pPr>
        <w:keepNext w:val="0"/>
        <w:keepLines/>
        <w:pageBreakBefore w:val="0"/>
        <w:widowControl w:val="0"/>
        <w:numPr>
          <w:ilvl w:val="0"/>
          <w:numId w:val="0"/>
        </w:numPr>
        <w:spacing w:before="0" w:after="0" w:line="288" w:lineRule="auto"/>
        <w:ind w:left="0" w:right="0" w:firstLine="0"/>
        <w:jc w:val="center"/>
        <w:outlineLvl w:val="0"/>
        <w:rPr>
          <w:rFonts w:ascii="Times New Roman" w:eastAsia="Times New Roman" w:hAnsi="Times New Roman" w:cs="Times New Roman"/>
          <w:b/>
          <w:i w:val="0"/>
          <w:sz w:val="20"/>
        </w:rPr>
      </w:pPr>
      <w:bookmarkStart w:id="1" w:name="Section2"/>
      <w:bookmarkEnd w:id="1"/>
      <w:r>
        <w:rPr>
          <w:rFonts w:ascii="Times New Roman" w:eastAsia="Times New Roman" w:hAnsi="Times New Roman" w:cs="Times New Roman"/>
          <w:b/>
          <w:i w:val="0"/>
          <w:sz w:val="20"/>
        </w:rPr>
        <w:t>ASURE SOFTWARE, INC.</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FORM 10-K</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FOR THE YEAR ENDED DECEMBER 31, 2025</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TABLE OF CONTENTS</w:t>
      </w:r>
    </w:p>
    <w:tbl>
      <w:tblPr>
        <w:tblW w:w="1024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960"/>
        <w:gridCol w:w="8340"/>
        <w:gridCol w:w="945"/>
      </w:tblGrid>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Page</w:t>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3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 w:history="1">
              <w:r>
                <w:rPr>
                  <w:rFonts w:ascii="Times New Roman" w:eastAsia="Times New Roman" w:hAnsi="Times New Roman" w:cs="Times New Roman"/>
                  <w:b/>
                  <w:i w:val="0"/>
                  <w:color w:val="0000FF"/>
                  <w:sz w:val="20"/>
                  <w:u w:val="single"/>
                  <w:shd w:val="clear" w:color="auto" w:fill="auto"/>
                </w:rPr>
                <w:t>PART I</w:t>
              </w:r>
            </w:hyperlink>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5" w:history="1">
              <w:r>
                <w:rPr>
                  <w:rFonts w:ascii="Times New Roman" w:eastAsia="Times New Roman" w:hAnsi="Times New Roman" w:cs="Times New Roman"/>
                  <w:b w:val="0"/>
                  <w:i w:val="0"/>
                  <w:color w:val="0000FF"/>
                  <w:sz w:val="20"/>
                  <w:u w:val="single"/>
                  <w:shd w:val="clear" w:color="auto" w:fill="auto"/>
                </w:rPr>
                <w:t>Item 1.</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5" w:history="1">
              <w:r>
                <w:rPr>
                  <w:rFonts w:ascii="Times New Roman" w:eastAsia="Times New Roman" w:hAnsi="Times New Roman" w:cs="Times New Roman"/>
                  <w:b w:val="0"/>
                  <w:i w:val="0"/>
                  <w:color w:val="0000FF"/>
                  <w:sz w:val="20"/>
                  <w:u w:val="single"/>
                  <w:shd w:val="clear" w:color="auto" w:fill="auto"/>
                </w:rPr>
                <w:t>Business</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Section5</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6" w:history="1">
              <w:r>
                <w:rPr>
                  <w:rFonts w:ascii="Times New Roman" w:eastAsia="Times New Roman" w:hAnsi="Times New Roman" w:cs="Times New Roman"/>
                  <w:b w:val="0"/>
                  <w:i w:val="0"/>
                  <w:color w:val="0000FF"/>
                  <w:sz w:val="20"/>
                  <w:u w:val="single"/>
                  <w:shd w:val="clear" w:color="auto" w:fill="auto"/>
                </w:rPr>
                <w:t>Item 1A.</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6" w:history="1">
              <w:r>
                <w:rPr>
                  <w:rFonts w:ascii="Times New Roman" w:eastAsia="Times New Roman" w:hAnsi="Times New Roman" w:cs="Times New Roman"/>
                  <w:b w:val="0"/>
                  <w:i w:val="0"/>
                  <w:color w:val="0000FF"/>
                  <w:sz w:val="20"/>
                  <w:u w:val="single"/>
                  <w:shd w:val="clear" w:color="auto" w:fill="auto"/>
                </w:rPr>
                <w:t>Risk Factors</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Section6</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8</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7" w:history="1">
              <w:r>
                <w:rPr>
                  <w:rFonts w:ascii="Times New Roman" w:eastAsia="Times New Roman" w:hAnsi="Times New Roman" w:cs="Times New Roman"/>
                  <w:b w:val="0"/>
                  <w:i w:val="0"/>
                  <w:color w:val="0000FF"/>
                  <w:sz w:val="20"/>
                  <w:u w:val="single"/>
                  <w:shd w:val="clear" w:color="auto" w:fill="auto"/>
                </w:rPr>
                <w:t>Item 1B.</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7" w:history="1">
              <w:r>
                <w:rPr>
                  <w:rFonts w:ascii="Times New Roman" w:eastAsia="Times New Roman" w:hAnsi="Times New Roman" w:cs="Times New Roman"/>
                  <w:b w:val="0"/>
                  <w:i w:val="0"/>
                  <w:color w:val="0000FF"/>
                  <w:sz w:val="20"/>
                  <w:u w:val="single"/>
                  <w:shd w:val="clear" w:color="auto" w:fill="auto"/>
                </w:rPr>
                <w:t>Unresolved Staff Comments</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Section7</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24</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8" w:history="1">
              <w:r>
                <w:rPr>
                  <w:rFonts w:ascii="Times New Roman" w:eastAsia="Times New Roman" w:hAnsi="Times New Roman" w:cs="Times New Roman"/>
                  <w:b w:val="0"/>
                  <w:i w:val="0"/>
                  <w:color w:val="0000FF"/>
                  <w:sz w:val="20"/>
                  <w:u w:val="single"/>
                  <w:shd w:val="clear" w:color="auto" w:fill="auto"/>
                </w:rPr>
                <w:t>Item 1C.</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8" w:history="1">
              <w:r>
                <w:rPr>
                  <w:rFonts w:ascii="Times New Roman" w:eastAsia="Times New Roman" w:hAnsi="Times New Roman" w:cs="Times New Roman"/>
                  <w:b w:val="0"/>
                  <w:i w:val="0"/>
                  <w:color w:val="0000FF"/>
                  <w:sz w:val="20"/>
                  <w:u w:val="single"/>
                  <w:shd w:val="clear" w:color="auto" w:fill="auto"/>
                </w:rPr>
                <w:t>Cybersecurity</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Section8</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24</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9" w:history="1">
              <w:r>
                <w:rPr>
                  <w:rFonts w:ascii="Times New Roman" w:eastAsia="Times New Roman" w:hAnsi="Times New Roman" w:cs="Times New Roman"/>
                  <w:b w:val="0"/>
                  <w:i w:val="0"/>
                  <w:color w:val="0000FF"/>
                  <w:sz w:val="20"/>
                  <w:u w:val="single"/>
                  <w:shd w:val="clear" w:color="auto" w:fill="auto"/>
                </w:rPr>
                <w:t>Item 2.</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9" w:history="1">
              <w:r>
                <w:rPr>
                  <w:rFonts w:ascii="Times New Roman" w:eastAsia="Times New Roman" w:hAnsi="Times New Roman" w:cs="Times New Roman"/>
                  <w:b w:val="0"/>
                  <w:i w:val="0"/>
                  <w:color w:val="0000FF"/>
                  <w:sz w:val="20"/>
                  <w:u w:val="single"/>
                  <w:shd w:val="clear" w:color="auto" w:fill="auto"/>
                </w:rPr>
                <w:t>Properties</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Section9</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25</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10" w:history="1">
              <w:r>
                <w:rPr>
                  <w:rFonts w:ascii="Times New Roman" w:eastAsia="Times New Roman" w:hAnsi="Times New Roman" w:cs="Times New Roman"/>
                  <w:b w:val="0"/>
                  <w:i w:val="0"/>
                  <w:color w:val="0000FF"/>
                  <w:sz w:val="20"/>
                  <w:u w:val="single"/>
                  <w:shd w:val="clear" w:color="auto" w:fill="auto"/>
                </w:rPr>
                <w:t>Item 3.</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10" w:history="1">
              <w:r>
                <w:rPr>
                  <w:rFonts w:ascii="Times New Roman" w:eastAsia="Times New Roman" w:hAnsi="Times New Roman" w:cs="Times New Roman"/>
                  <w:b w:val="0"/>
                  <w:i w:val="0"/>
                  <w:color w:val="0000FF"/>
                  <w:sz w:val="20"/>
                  <w:u w:val="single"/>
                  <w:shd w:val="clear" w:color="auto" w:fill="auto"/>
                </w:rPr>
                <w:t>Legal Proceedings</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Section10</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25</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11" w:history="1">
              <w:r>
                <w:rPr>
                  <w:rFonts w:ascii="Times New Roman" w:eastAsia="Times New Roman" w:hAnsi="Times New Roman" w:cs="Times New Roman"/>
                  <w:b w:val="0"/>
                  <w:i w:val="0"/>
                  <w:color w:val="0000FF"/>
                  <w:sz w:val="20"/>
                  <w:u w:val="single"/>
                  <w:shd w:val="clear" w:color="auto" w:fill="auto"/>
                </w:rPr>
                <w:t>Item 4.</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11" w:history="1">
              <w:r>
                <w:rPr>
                  <w:rFonts w:ascii="Times New Roman" w:eastAsia="Times New Roman" w:hAnsi="Times New Roman" w:cs="Times New Roman"/>
                  <w:b w:val="0"/>
                  <w:i w:val="0"/>
                  <w:color w:val="0000FF"/>
                  <w:sz w:val="20"/>
                  <w:u w:val="single"/>
                  <w:shd w:val="clear" w:color="auto" w:fill="auto"/>
                </w:rPr>
                <w:t>Mine Safety Disclosures</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Section11</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25</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12" w:history="1">
              <w:r>
                <w:rPr>
                  <w:rFonts w:ascii="Times New Roman" w:eastAsia="Times New Roman" w:hAnsi="Times New Roman" w:cs="Times New Roman"/>
                  <w:b/>
                  <w:i w:val="0"/>
                  <w:color w:val="0000FF"/>
                  <w:sz w:val="20"/>
                  <w:u w:val="single"/>
                  <w:shd w:val="clear" w:color="auto" w:fill="auto"/>
                </w:rPr>
                <w:t>PART II</w:t>
              </w:r>
            </w:hyperlink>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465"/>
        </w:trPr>
        <w:tc>
          <w:tcPr>
            <w:tcW w:w="96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13" w:history="1">
              <w:r>
                <w:rPr>
                  <w:rFonts w:ascii="Times New Roman" w:eastAsia="Times New Roman" w:hAnsi="Times New Roman" w:cs="Times New Roman"/>
                  <w:b w:val="0"/>
                  <w:i w:val="0"/>
                  <w:color w:val="0000FF"/>
                  <w:sz w:val="20"/>
                  <w:u w:val="single"/>
                  <w:shd w:val="clear" w:color="auto" w:fill="auto"/>
                </w:rPr>
                <w:t>Item 5.</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13" w:history="1">
              <w:r>
                <w:rPr>
                  <w:rFonts w:ascii="Times New Roman" w:eastAsia="Times New Roman" w:hAnsi="Times New Roman" w:cs="Times New Roman"/>
                  <w:b w:val="0"/>
                  <w:i w:val="0"/>
                  <w:color w:val="0000FF"/>
                  <w:sz w:val="20"/>
                  <w:u w:val="single"/>
                  <w:shd w:val="clear" w:color="auto" w:fill="auto"/>
                </w:rPr>
                <w:t>Market for Registrant’s Common Equity, Related Stockholder Matters and Issuer Purchases of Equity Securities</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Section13</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26</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14" w:history="1">
              <w:r>
                <w:rPr>
                  <w:rFonts w:ascii="Times New Roman" w:eastAsia="Times New Roman" w:hAnsi="Times New Roman" w:cs="Times New Roman"/>
                  <w:b w:val="0"/>
                  <w:i w:val="0"/>
                  <w:color w:val="0000FF"/>
                  <w:sz w:val="20"/>
                  <w:u w:val="single"/>
                  <w:shd w:val="clear" w:color="auto" w:fill="auto"/>
                </w:rPr>
                <w:t>Item 6.</w:t>
              </w:r>
            </w:hyperlink>
          </w:p>
        </w:tc>
        <w:tc>
          <w:tcPr>
            <w:tcW w:w="834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14" w:history="1">
              <w:r>
                <w:rPr>
                  <w:rFonts w:ascii="Times New Roman" w:eastAsia="Times New Roman" w:hAnsi="Times New Roman" w:cs="Times New Roman"/>
                  <w:b w:val="0"/>
                  <w:i w:val="0"/>
                  <w:color w:val="0000FF"/>
                  <w:sz w:val="20"/>
                  <w:u w:val="single"/>
                  <w:shd w:val="clear" w:color="auto" w:fill="auto"/>
                </w:rPr>
                <w:t>Reserved</w:t>
              </w:r>
            </w:hyperlink>
          </w:p>
        </w:tc>
        <w:tc>
          <w:tcPr>
            <w:tcW w:w="94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Section14</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26</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15" w:history="1">
              <w:r>
                <w:rPr>
                  <w:rFonts w:ascii="Times New Roman" w:eastAsia="Times New Roman" w:hAnsi="Times New Roman" w:cs="Times New Roman"/>
                  <w:b w:val="0"/>
                  <w:i w:val="0"/>
                  <w:color w:val="0000FF"/>
                  <w:sz w:val="20"/>
                  <w:u w:val="single"/>
                  <w:shd w:val="clear" w:color="auto" w:fill="auto"/>
                </w:rPr>
                <w:t>Item 7.</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15" w:history="1">
              <w:r>
                <w:rPr>
                  <w:rFonts w:ascii="Times New Roman" w:eastAsia="Times New Roman" w:hAnsi="Times New Roman" w:cs="Times New Roman"/>
                  <w:b w:val="0"/>
                  <w:i w:val="0"/>
                  <w:color w:val="0000FF"/>
                  <w:sz w:val="20"/>
                  <w:u w:val="single"/>
                  <w:shd w:val="clear" w:color="auto" w:fill="auto"/>
                </w:rPr>
                <w:t>Management’s Discussion and Analysis of Financial Condition and Results of Operations</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Section15</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27</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19" w:history="1">
              <w:r>
                <w:rPr>
                  <w:rFonts w:ascii="Times New Roman" w:eastAsia="Times New Roman" w:hAnsi="Times New Roman" w:cs="Times New Roman"/>
                  <w:b w:val="0"/>
                  <w:i w:val="0"/>
                  <w:color w:val="0000FF"/>
                  <w:sz w:val="20"/>
                  <w:u w:val="single"/>
                  <w:shd w:val="clear" w:color="auto" w:fill="auto"/>
                </w:rPr>
                <w:t>Item 7A.</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19" w:history="1">
              <w:r>
                <w:rPr>
                  <w:rFonts w:ascii="Times New Roman" w:eastAsia="Times New Roman" w:hAnsi="Times New Roman" w:cs="Times New Roman"/>
                  <w:b w:val="0"/>
                  <w:i w:val="0"/>
                  <w:color w:val="0000FF"/>
                  <w:sz w:val="20"/>
                  <w:u w:val="single"/>
                  <w:shd w:val="clear" w:color="auto" w:fill="auto"/>
                </w:rPr>
                <w:t>Quantitative and Qualitative Disclosures about Market Risk</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Section19</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33</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20" w:history="1">
              <w:r>
                <w:rPr>
                  <w:rFonts w:ascii="Times New Roman" w:eastAsia="Times New Roman" w:hAnsi="Times New Roman" w:cs="Times New Roman"/>
                  <w:b w:val="0"/>
                  <w:i w:val="0"/>
                  <w:color w:val="0000FF"/>
                  <w:sz w:val="20"/>
                  <w:u w:val="single"/>
                  <w:shd w:val="clear" w:color="auto" w:fill="auto"/>
                </w:rPr>
                <w:t>Item 8.</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20" w:history="1">
              <w:r>
                <w:rPr>
                  <w:rFonts w:ascii="Times New Roman" w:eastAsia="Times New Roman" w:hAnsi="Times New Roman" w:cs="Times New Roman"/>
                  <w:b w:val="0"/>
                  <w:i w:val="0"/>
                  <w:color w:val="0000FF"/>
                  <w:sz w:val="20"/>
                  <w:u w:val="single"/>
                  <w:shd w:val="clear" w:color="auto" w:fill="auto"/>
                </w:rPr>
                <w:t>Financial Statements and Supplementary Data</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Section20</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33</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41" w:history="1">
              <w:r>
                <w:rPr>
                  <w:rFonts w:ascii="Times New Roman" w:eastAsia="Times New Roman" w:hAnsi="Times New Roman" w:cs="Times New Roman"/>
                  <w:b w:val="0"/>
                  <w:i w:val="0"/>
                  <w:color w:val="0000FF"/>
                  <w:sz w:val="20"/>
                  <w:u w:val="single"/>
                  <w:shd w:val="clear" w:color="auto" w:fill="auto"/>
                </w:rPr>
                <w:t>Item 9.</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41" w:history="1">
              <w:r>
                <w:rPr>
                  <w:rFonts w:ascii="Times New Roman" w:eastAsia="Times New Roman" w:hAnsi="Times New Roman" w:cs="Times New Roman"/>
                  <w:b w:val="0"/>
                  <w:i w:val="0"/>
                  <w:color w:val="0000FF"/>
                  <w:sz w:val="20"/>
                  <w:u w:val="single"/>
                  <w:shd w:val="clear" w:color="auto" w:fill="auto"/>
                </w:rPr>
                <w:t>Changes in and Disagreements with Accountants on Accounting and Financial Disclosures</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Section41</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64</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42" w:history="1">
              <w:r>
                <w:rPr>
                  <w:rFonts w:ascii="Times New Roman" w:eastAsia="Times New Roman" w:hAnsi="Times New Roman" w:cs="Times New Roman"/>
                  <w:b w:val="0"/>
                  <w:i w:val="0"/>
                  <w:color w:val="0000FF"/>
                  <w:sz w:val="20"/>
                  <w:u w:val="single"/>
                  <w:shd w:val="clear" w:color="auto" w:fill="auto"/>
                </w:rPr>
                <w:t>Item 9A.</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42" w:history="1">
              <w:r>
                <w:rPr>
                  <w:rFonts w:ascii="Times New Roman" w:eastAsia="Times New Roman" w:hAnsi="Times New Roman" w:cs="Times New Roman"/>
                  <w:b w:val="0"/>
                  <w:i w:val="0"/>
                  <w:color w:val="0000FF"/>
                  <w:sz w:val="20"/>
                  <w:u w:val="single"/>
                  <w:shd w:val="clear" w:color="auto" w:fill="auto"/>
                </w:rPr>
                <w:t>Controls and Procedures</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Section42</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64</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44" w:history="1">
              <w:r>
                <w:rPr>
                  <w:rFonts w:ascii="Times New Roman" w:eastAsia="Times New Roman" w:hAnsi="Times New Roman" w:cs="Times New Roman"/>
                  <w:b w:val="0"/>
                  <w:i w:val="0"/>
                  <w:color w:val="0000FF"/>
                  <w:sz w:val="20"/>
                  <w:u w:val="single"/>
                  <w:shd w:val="clear" w:color="auto" w:fill="auto"/>
                </w:rPr>
                <w:t>Item 9B.</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44" w:history="1">
              <w:r>
                <w:rPr>
                  <w:rFonts w:ascii="Times New Roman" w:eastAsia="Times New Roman" w:hAnsi="Times New Roman" w:cs="Times New Roman"/>
                  <w:b w:val="0"/>
                  <w:i w:val="0"/>
                  <w:color w:val="0000FF"/>
                  <w:sz w:val="20"/>
                  <w:u w:val="single"/>
                  <w:shd w:val="clear" w:color="auto" w:fill="auto"/>
                </w:rPr>
                <w:t>Other Information</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Section44</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67</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45" w:history="1">
              <w:r>
                <w:rPr>
                  <w:rFonts w:ascii="Times New Roman" w:eastAsia="Times New Roman" w:hAnsi="Times New Roman" w:cs="Times New Roman"/>
                  <w:b w:val="0"/>
                  <w:i w:val="0"/>
                  <w:color w:val="0000FF"/>
                  <w:sz w:val="20"/>
                  <w:u w:val="single"/>
                  <w:shd w:val="clear" w:color="auto" w:fill="auto"/>
                </w:rPr>
                <w:t>Item 9C.</w:t>
              </w:r>
            </w:hyperlink>
          </w:p>
        </w:tc>
        <w:tc>
          <w:tcPr>
            <w:tcW w:w="834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45" w:history="1">
              <w:r>
                <w:rPr>
                  <w:rFonts w:ascii="Times New Roman" w:eastAsia="Times New Roman" w:hAnsi="Times New Roman" w:cs="Times New Roman"/>
                  <w:b w:val="0"/>
                  <w:i w:val="0"/>
                  <w:color w:val="0000FF"/>
                  <w:sz w:val="20"/>
                  <w:u w:val="single"/>
                  <w:shd w:val="clear" w:color="auto" w:fill="auto"/>
                </w:rPr>
                <w:t>Disclosure Regarding Foreign Jurisdictions that Prevent Inspections</w:t>
              </w:r>
            </w:hyperlink>
          </w:p>
        </w:tc>
        <w:tc>
          <w:tcPr>
            <w:tcW w:w="94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Section45</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67</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46" w:history="1">
              <w:r>
                <w:rPr>
                  <w:rFonts w:ascii="Times New Roman" w:eastAsia="Times New Roman" w:hAnsi="Times New Roman" w:cs="Times New Roman"/>
                  <w:b/>
                  <w:i w:val="0"/>
                  <w:color w:val="0000FF"/>
                  <w:sz w:val="20"/>
                  <w:u w:val="single"/>
                  <w:shd w:val="clear" w:color="auto" w:fill="auto"/>
                </w:rPr>
                <w:t>PART III</w:t>
              </w:r>
            </w:hyperlink>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47" w:history="1">
              <w:r>
                <w:rPr>
                  <w:rFonts w:ascii="Times New Roman" w:eastAsia="Times New Roman" w:hAnsi="Times New Roman" w:cs="Times New Roman"/>
                  <w:b w:val="0"/>
                  <w:i w:val="0"/>
                  <w:color w:val="0000FF"/>
                  <w:sz w:val="20"/>
                  <w:u w:val="single"/>
                  <w:shd w:val="clear" w:color="auto" w:fill="auto"/>
                </w:rPr>
                <w:t>Item 10.</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47" w:history="1">
              <w:r>
                <w:rPr>
                  <w:rFonts w:ascii="Times New Roman" w:eastAsia="Times New Roman" w:hAnsi="Times New Roman" w:cs="Times New Roman"/>
                  <w:b w:val="0"/>
                  <w:i w:val="0"/>
                  <w:color w:val="0000FF"/>
                  <w:sz w:val="20"/>
                  <w:u w:val="single"/>
                  <w:shd w:val="clear" w:color="auto" w:fill="auto"/>
                </w:rPr>
                <w:t>Directors, Executive Officers and Corporate Governance</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Section47</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68</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48" w:history="1">
              <w:r>
                <w:rPr>
                  <w:rFonts w:ascii="Times New Roman" w:eastAsia="Times New Roman" w:hAnsi="Times New Roman" w:cs="Times New Roman"/>
                  <w:b w:val="0"/>
                  <w:i w:val="0"/>
                  <w:color w:val="0000FF"/>
                  <w:sz w:val="20"/>
                  <w:u w:val="single"/>
                  <w:shd w:val="clear" w:color="auto" w:fill="auto"/>
                </w:rPr>
                <w:t>Item 11.</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48" w:history="1">
              <w:r>
                <w:rPr>
                  <w:rFonts w:ascii="Times New Roman" w:eastAsia="Times New Roman" w:hAnsi="Times New Roman" w:cs="Times New Roman"/>
                  <w:b w:val="0"/>
                  <w:i w:val="0"/>
                  <w:color w:val="0000FF"/>
                  <w:sz w:val="20"/>
                  <w:u w:val="single"/>
                  <w:shd w:val="clear" w:color="auto" w:fill="auto"/>
                </w:rPr>
                <w:t>Executive Compensation</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Section48</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68</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49" w:history="1">
              <w:r>
                <w:rPr>
                  <w:rFonts w:ascii="Times New Roman" w:eastAsia="Times New Roman" w:hAnsi="Times New Roman" w:cs="Times New Roman"/>
                  <w:b w:val="0"/>
                  <w:i w:val="0"/>
                  <w:color w:val="0000FF"/>
                  <w:sz w:val="20"/>
                  <w:u w:val="single"/>
                  <w:shd w:val="clear" w:color="auto" w:fill="auto"/>
                </w:rPr>
                <w:t>Item 12.</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49" w:history="1">
              <w:r>
                <w:rPr>
                  <w:rFonts w:ascii="Times New Roman" w:eastAsia="Times New Roman" w:hAnsi="Times New Roman" w:cs="Times New Roman"/>
                  <w:b w:val="0"/>
                  <w:i w:val="0"/>
                  <w:color w:val="0000FF"/>
                  <w:sz w:val="20"/>
                  <w:u w:val="single"/>
                  <w:shd w:val="clear" w:color="auto" w:fill="auto"/>
                </w:rPr>
                <w:t>Security Ownership of Certain Beneficial Owners and Management and Related Stockholder Matters</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Section49</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68</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50" w:history="1">
              <w:r>
                <w:rPr>
                  <w:rFonts w:ascii="Times New Roman" w:eastAsia="Times New Roman" w:hAnsi="Times New Roman" w:cs="Times New Roman"/>
                  <w:b w:val="0"/>
                  <w:i w:val="0"/>
                  <w:color w:val="0000FF"/>
                  <w:sz w:val="20"/>
                  <w:u w:val="single"/>
                  <w:shd w:val="clear" w:color="auto" w:fill="auto"/>
                </w:rPr>
                <w:t>Item 13.</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50" w:history="1">
              <w:r>
                <w:rPr>
                  <w:rFonts w:ascii="Times New Roman" w:eastAsia="Times New Roman" w:hAnsi="Times New Roman" w:cs="Times New Roman"/>
                  <w:b w:val="0"/>
                  <w:i w:val="0"/>
                  <w:color w:val="0000FF"/>
                  <w:sz w:val="20"/>
                  <w:u w:val="single"/>
                  <w:shd w:val="clear" w:color="auto" w:fill="auto"/>
                </w:rPr>
                <w:t>Certain Relationships, Related Transactions and Director Independence</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Section50</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68</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51" w:history="1">
              <w:r>
                <w:rPr>
                  <w:rFonts w:ascii="Times New Roman" w:eastAsia="Times New Roman" w:hAnsi="Times New Roman" w:cs="Times New Roman"/>
                  <w:b w:val="0"/>
                  <w:i w:val="0"/>
                  <w:color w:val="0000FF"/>
                  <w:sz w:val="20"/>
                  <w:u w:val="single"/>
                  <w:shd w:val="clear" w:color="auto" w:fill="auto"/>
                </w:rPr>
                <w:t>Item 14.</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51" w:history="1">
              <w:r>
                <w:rPr>
                  <w:rFonts w:ascii="Times New Roman" w:eastAsia="Times New Roman" w:hAnsi="Times New Roman" w:cs="Times New Roman"/>
                  <w:b w:val="0"/>
                  <w:i w:val="0"/>
                  <w:color w:val="0000FF"/>
                  <w:sz w:val="20"/>
                  <w:u w:val="single"/>
                  <w:shd w:val="clear" w:color="auto" w:fill="auto"/>
                </w:rPr>
                <w:t>Principal Accountant Fees and Services</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Section51</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68</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52" w:history="1">
              <w:r>
                <w:rPr>
                  <w:rFonts w:ascii="Times New Roman" w:eastAsia="Times New Roman" w:hAnsi="Times New Roman" w:cs="Times New Roman"/>
                  <w:b/>
                  <w:i w:val="0"/>
                  <w:color w:val="0000FF"/>
                  <w:sz w:val="20"/>
                  <w:u w:val="single"/>
                  <w:shd w:val="clear" w:color="auto" w:fill="auto"/>
                </w:rPr>
                <w:t>PART IV</w:t>
              </w:r>
            </w:hyperlink>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53" w:history="1">
              <w:r>
                <w:rPr>
                  <w:rFonts w:ascii="Times New Roman" w:eastAsia="Times New Roman" w:hAnsi="Times New Roman" w:cs="Times New Roman"/>
                  <w:b w:val="0"/>
                  <w:i w:val="0"/>
                  <w:color w:val="0000FF"/>
                  <w:sz w:val="20"/>
                  <w:u w:val="single"/>
                  <w:shd w:val="clear" w:color="auto" w:fill="auto"/>
                </w:rPr>
                <w:t>Item 15.</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53" w:history="1">
              <w:r>
                <w:rPr>
                  <w:rFonts w:ascii="Times New Roman" w:eastAsia="Times New Roman" w:hAnsi="Times New Roman" w:cs="Times New Roman"/>
                  <w:b w:val="0"/>
                  <w:i w:val="0"/>
                  <w:color w:val="0000FF"/>
                  <w:sz w:val="20"/>
                  <w:u w:val="single"/>
                  <w:shd w:val="clear" w:color="auto" w:fill="auto"/>
                </w:rPr>
                <w:t>Exhibits and Financial Statement Schedules</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Section53</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69</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54" w:history="1">
              <w:r>
                <w:rPr>
                  <w:rFonts w:ascii="Times New Roman" w:eastAsia="Times New Roman" w:hAnsi="Times New Roman" w:cs="Times New Roman"/>
                  <w:b w:val="0"/>
                  <w:i w:val="0"/>
                  <w:color w:val="0000FF"/>
                  <w:sz w:val="20"/>
                  <w:u w:val="single"/>
                  <w:shd w:val="clear" w:color="auto" w:fill="auto"/>
                </w:rPr>
                <w:t>Item 16.</w:t>
              </w:r>
            </w:hyperlink>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54" w:history="1">
              <w:r>
                <w:rPr>
                  <w:rFonts w:ascii="Times New Roman" w:eastAsia="Times New Roman" w:hAnsi="Times New Roman" w:cs="Times New Roman"/>
                  <w:b w:val="0"/>
                  <w:i w:val="0"/>
                  <w:color w:val="0000FF"/>
                  <w:sz w:val="20"/>
                  <w:u w:val="single"/>
                  <w:shd w:val="clear" w:color="auto" w:fill="auto"/>
                </w:rPr>
                <w:t>Form 10-K Summary</w:t>
              </w:r>
            </w:hyperlink>
          </w:p>
        </w:tc>
        <w:tc>
          <w:tcPr>
            <w:tcW w:w="94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Section54</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71</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34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55" w:history="1">
              <w:r>
                <w:rPr>
                  <w:rFonts w:ascii="Times New Roman" w:eastAsia="Times New Roman" w:hAnsi="Times New Roman" w:cs="Times New Roman"/>
                  <w:b w:val="0"/>
                  <w:i w:val="0"/>
                  <w:color w:val="0000FF"/>
                  <w:sz w:val="20"/>
                  <w:u w:val="single"/>
                  <w:shd w:val="clear" w:color="auto" w:fill="auto"/>
                </w:rPr>
                <w:t>Signatures and Certifications</w:t>
              </w:r>
            </w:hyperlink>
          </w:p>
        </w:tc>
        <w:tc>
          <w:tcPr>
            <w:tcW w:w="94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Section55</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72</w:t>
            </w:r>
            <w:r>
              <w:rPr>
                <w:rFonts w:ascii="Times New Roman" w:eastAsia="Times New Roman" w:hAnsi="Times New Roman" w:cs="Times New Roman"/>
                <w:b w:val="0"/>
                <w:i w:val="0"/>
                <w:color w:val="0000FF"/>
                <w:sz w:val="20"/>
                <w:u w:val="single"/>
              </w:rPr>
              <w:fldChar w:fldCharType="end"/>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sectPr>
          <w:headerReference w:type="default" r:id="rId9"/>
          <w:footerReference w:type="default" r:id="rId10"/>
          <w:pgSz w:w="12240" w:h="15840"/>
          <w:pgMar w:top="765" w:right="990" w:bottom="855" w:left="990" w:header="270" w:footer="0"/>
          <w:cols w:space="708"/>
        </w:sectPr>
      </w:pPr>
    </w:p>
    <w:p>
      <w:pPr>
        <w:keepNext w:val="0"/>
        <w:keepLines/>
        <w:pageBreakBefore w:val="0"/>
        <w:widowControl w:val="0"/>
        <w:numPr>
          <w:ilvl w:val="0"/>
          <w:numId w:val="0"/>
        </w:numPr>
        <w:spacing w:before="0" w:after="0" w:line="288" w:lineRule="auto"/>
        <w:ind w:left="0" w:right="0" w:firstLine="0"/>
        <w:jc w:val="center"/>
        <w:outlineLvl w:val="0"/>
        <w:rPr>
          <w:rFonts w:ascii="Times New Roman" w:eastAsia="Times New Roman" w:hAnsi="Times New Roman" w:cs="Times New Roman"/>
          <w:b/>
          <w:i w:val="0"/>
          <w:sz w:val="20"/>
        </w:rPr>
      </w:pPr>
      <w:bookmarkStart w:id="2" w:name="Section3"/>
      <w:bookmarkEnd w:id="2"/>
      <w:r>
        <w:rPr>
          <w:rFonts w:ascii="Times New Roman" w:eastAsia="Times New Roman" w:hAnsi="Times New Roman" w:cs="Times New Roman"/>
          <w:b/>
          <w:i w:val="0"/>
          <w:sz w:val="20"/>
        </w:rPr>
        <w:t>PART I</w:t>
      </w:r>
    </w:p>
    <w:p>
      <w:pPr>
        <w:keepNext w:val="0"/>
        <w:keepLines/>
        <w:pageBreakBefore w:val="0"/>
        <w:widowControl w:val="0"/>
        <w:numPr>
          <w:ilvl w:val="0"/>
          <w:numId w:val="0"/>
        </w:numPr>
        <w:spacing w:before="0" w:after="0" w:line="288" w:lineRule="auto"/>
        <w:ind w:left="0" w:right="0" w:firstLine="0"/>
        <w:jc w:val="center"/>
        <w:outlineLvl w:val="0"/>
        <w:sectPr>
          <w:headerReference w:type="default" r:id="rId11"/>
          <w:footerReference w:type="default" r:id="rId12"/>
          <w:pgSz w:w="12240" w:h="15840"/>
          <w:pgMar w:top="855" w:right="990" w:bottom="855" w:left="990" w:header="270" w:footer="270"/>
          <w:pgNumType w:start="1"/>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3" w:name="Section4"/>
      <w:bookmarkEnd w:id="3"/>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CAUTIONARY STATEMENT REGARDING FORWARD-LOOKING STATEMENTS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yellow"/>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Certain written and oral statements made by management of Asure Software, Inc. and its consolidated subsidiaries (“we”, “Asure”, “our”, “us”) included in this Form 10-K may constitute “forward-looking” statements within the meaning of the safe harbor provisions of the U.S. Private Securities Litigation Reform Act of 1995. The words “believe,” “may,” “will,” “estimate,” “projects,” “anticipate,” “intend,” “expect,” “should,” “plan,” and similar expressions are intended to identify forward-looking statements. Examples of forward-looking statements include statements we make regarding our operating performance, future results of operations and financial position, revenue growth, earnings or other projections. We have based these forward-looking statements largely on our current expectations and projections about future events and trends that we believe may affect our financial condition, results of operations, business strategy, short-term and long-term business operations and objectives, and financial needs. These forward-looking statements are subject to a number of risks, uncertainties and assumptions, including those described in the “Risk Factors” section, factors discussed throughout Part II, Item 7, “Management’s Discussion and Analysis of Financial Condition and Results of Operations” as well as in our periodic filings with the Securities and Exchange Commission (the “SEC”). Moreover, we operate in a very competitive and rapidly changing environment. New risks emerge from time to time. It is not possible for our management to predict all risks, nor can we assess the impact of all factors on our business or the extent to which any factor, or combination of factors, may cause actual results to differ materially from those contained in any forward-looking statements we may make. In light of these risks, uncertainties and assumptions, the future events and trends discussed in this report may not occur and actual results could differ materially and adversely from those anticipated or implied in the forward-looking statements. You should not rely upon forward-looking statements as predictions of future events. The events and circumstances reflected in the forward-looking statements may not be achieved or occur. Although we believe that the expectations reflected in the forward-looking statements are reasonable, we cannot guarantee future results, levels of activities, performance, or achievements.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information provided in this Form 10-K is based on facts and circumstances known as of the date of this report, and any forward-looking statements made by us in this Form 10-K speak only as of the date on which they are made. We are under no duty to update any of these forward-looking statements after the date of this report or to conform these statements to actual results or revised expectations.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Risk Factor Summary</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business is subject to numerous risks and uncertainties, including those highlighted in the section titled “Risk Factors.” These risks include, among others, the following:</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If our security measures, or those of our third-party data service partners are compromised or breached, it could reduce our revenue and earnings, increase our expenses, and expose us to legal claims and regulatory actions;</w:t>
      </w: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have a history of losses, and we cannot be certain that we will achieve or sustain profitability;</w:t>
      </w: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may need additional capital to support business growth or to make scheduled payments on or refinance our existing indebtedness. Such additional capital may have restrictions that could adversely affect our financial condition;</w:t>
      </w: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Volatility and weakness in bank and capital markets may adversely affect our credit availability and related financing;</w:t>
      </w: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have acquired and plan to continue to acquire from time to time our Reseller Partners’ businesses. These acquisitions could prove difficult to integrate, result in unknown or unforeseen liabilities, disrupt our business, dilute stockholder value and ownership and adversely affect our operating results and financial condition;</w:t>
      </w: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Privacy concerns and laws and other regulations may limit the effectiveness of our applications and adversely affect our business;</w:t>
      </w: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adoption of new or interpretation of existing money service business statutes and money transmitter statutes could subject us to additional regulation and related expense and necessitate changes to our business model;</w:t>
      </w: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software and solutions may not function adequately, which could damage our reputation and give rise to claims against us, which could harm our business and operating results;</w:t>
      </w: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depend on data centers and computing infrastructure operated by third parties, and any disruption in these operations or changes of these providers could adversely affect our business;</w:t>
      </w: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incur significant costs as a result of operating as a public company. We may fail to comply with the rules that apply to such public companies, which could result in sanctions or other penalties that would harm our business;</w:t>
      </w: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Some of our key components are procured from a single or limited number of suppliers. Thus, we are at risk of shortages, price increases, tariffs, changes in international trade policies or treaties, delays, or discontinuation of key components, which could disrupt and materially and adversely affect our business;</w:t>
      </w:r>
    </w:p>
    <w:p>
      <w:pPr>
        <w:keepNext w:val="0"/>
        <w:keepLines/>
        <w:pageBreakBefore w:val="0"/>
        <w:widowControl w:val="0"/>
        <w:numPr>
          <w:ilvl w:val="0"/>
          <w:numId w:val="15"/>
        </w:numPr>
        <w:spacing w:before="0" w:after="0" w:line="288" w:lineRule="auto"/>
        <w:ind w:left="720" w:right="0" w:hanging="360"/>
        <w:jc w:val="left"/>
        <w:outlineLvl w:val="9"/>
        <w:rPr>
          <w:rFonts w:ascii="Times New Roman" w:eastAsia="Times New Roman" w:hAnsi="Times New Roman" w:cs="Times New Roman"/>
          <w:b/>
          <w:i/>
          <w:sz w:val="20"/>
        </w:rPr>
      </w:pPr>
      <w:r>
        <w:rPr>
          <w:rFonts w:ascii="Times New Roman" w:eastAsia="Times New Roman" w:hAnsi="Times New Roman" w:cs="Times New Roman"/>
          <w:b w:val="0"/>
          <w:i w:val="0"/>
          <w:sz w:val="20"/>
        </w:rPr>
        <w:t>We have previously identified a material weakness in our internal control over financial reporting and may do so again, which may result in material misstatements of our financial statements;</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If we are unable to release timely updates to our products to reflect changes in laws and regulations, the market acceptance of our products may be adversely affected and our revenues could decline;</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If we are not able to develop enhancements and new features, keep pace with technological developments or respond to future technologies, our business, operating results and financial results will be adversely affected;</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business depends substantially on clients renewing their agreements with us, purchasing additional products from us or adding additional users. If our customers do not renew their agreements with us or reduce the services purchased, our revenue will decline and our business, operating results and financial condition may be adversely affected.</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Client funds that we hold in trust are subject to market, interest rate, credit and liquidity risk. The loss of these funds could have a material adverse effect on our business, financial condition and results of operations;</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markets in which we participate are highly competitive, and if we do not compete effectively, our operating results could be adversely affected;</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clients could have insufficient funds to cover payments we have made on their behalf or credit that we have extended to them in connection with the services that we have provided, resulting in financial loss to us;</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If our banking partners limit our ability to process funds or we are not able to increase our capacity with our existing and new banking partners, our ability to process funds on behalf of our clients and our financial results and liquidity could be adversely affected;</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balance sheet includes significant amounts of goodwill and intangible assets. The impairment of a significant portion of these assets would adversely affect our business, operating results and financial condition;</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If we fail to adequately protect our proprietary rights, our competitive advantage and brand could be impaired and we may lose valuable assets, generate reduced revenue and incur costly litigation to protect our rights;</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may be sued by third parties for infringement of their proprietary rights;</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Even if demand for HCM products and services increases generally, there is no guarantee that demand for SaaS products generally or our products in particular will increase to a corresponding degree, or at all;</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may be subject to claims, lawsuits, governmental investigations and other proceedings that could adversely affect our business, financial condition and results of operations;</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Advancements and adoption of artificial intelligence (“AI”) could reduce demand for our solutions, which could have a material adverse affect on our business, operating results, and financial results;</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Issues in the use of AI in our HCM products and services may result in reputational harm or liability to us, and our business, operating results, and financial results may be adversely affected;</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Changes in financial accounting standards or practices may cause adverse, unexpected financial reporting fluctuations and affect our reported operating results;</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use of open source software in our applications may expose us to risks and harm our intellectual property rights;</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may be adversely affected by failure of third parties in providing their services;</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ability to use our net operating loss carryforwards and certain other tax attributes may be limited;</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Inability to maintain the third-party licensed software we use in our applications at the current costs could result in increased costs or reduced service levels, which could adversely affect our business;</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Evolving regulation of the Internet, changes in the infrastructure underlying the Internet or interruptions in Internet access may adversely affect our business, operating results and financial condition;</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 portion of our accounts receivable is related to tax processing services that enabled businesses to file for Employee Retention Tax Credits under the CARES Act;</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If we lose key personnel, including key management personnel, or are unable to attract and retain additional personnel as needed in the future, it could have a material adverse effect on our business;</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Adverse tax laws or regulations could be enacted, or existing laws could be applied to us or our clients, which could increase the costs of our services and adversely impact our business;</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Political, economic and social factors may materially adversely affect our business and financial results;</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Sales, or the potential for sales, of a substantial number of shares of our common stock in the public market could cause our stock price to fall;</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common stock has traded in low volumes and we cannot predict whether an active trading market for our common stock will develop;</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stock price has been, and likely will continue to be, volatile;</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do not intend to pay dividends for the foreseeable future, and you must rely on increases in the market price of our common stock for returns on equity investment;</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stockholder rights plan, or “poison pill,” includes terms and conditions which could discourage a takeover or other transaction that stockholders may consider favorable;</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Provisions in our charter documents, stockholder rights plan, and Delaware law could discourage a takeover that stockholders may consider favorable and may lead to entrenchment of our management and board of directors; and</w:t>
      </w: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business could be negatively affected as a result of actions of activist stockholders, and such activism could impact the trading value of our securities.</w:t>
      </w:r>
    </w:p>
    <w:p>
      <w:pPr>
        <w:keepNext w:val="0"/>
        <w:keepLines/>
        <w:pageBreakBefore w:val="0"/>
        <w:widowControl w:val="0"/>
        <w:numPr>
          <w:ilvl w:val="0"/>
          <w:numId w:val="14"/>
        </w:numPr>
        <w:spacing w:before="0" w:after="0" w:line="288" w:lineRule="auto"/>
        <w:ind w:left="720" w:right="0" w:hanging="360"/>
        <w:jc w:val="left"/>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4" w:name="Section5"/>
      <w:bookmarkEnd w:id="4"/>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1.</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BUSINESS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GENERAL</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Asure is a provider of cloud-based Human Capital Management (“HCM”) software solutions delivered as Software-as-a-Service (“SaaS”) to businesses of all sizes. We offer human resources (“HR”) tools necessary to build a thriving workforce, provide the resources to stay compliant with dynamic federal, state, and local tax jurisdictions and their respective labor laws, freeing cash flows so these businesses can spend their financial capital on growing their businesses rather than administrative overhead that can impede growth. Our solutions also provide new ways for employers to connect with their employees and strengthen relationships with their talent. At the core of our offering is the Asure HCM platform—a SaaS-based system that includes Payroll &amp; Tax filing, HR management tools, Time &amp; Attendance software,  Recruiting, and Benefits Administration. This platform serves as the foundation for delivering both our core software and a range of complementary, technology-enabled services. These include AsureMarketplace™, which automates data exchange between our HCM system and third-party providers to increase efficiency, accuracy, and breadth of services. Our HR Compliance services combine expert guidance with scalable digital delivery. AsurePay™, our payroll card, which we provide in association with our partners, offers employees fast, secure access to earned wages. Additionally, through our licensed brokerage, we offer Insurance Services that help employers manage benefits and reduce administrative costs. We deliver our solutions directly and through a national network of Reseller Partners.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From recruitment to retirement, our solutions help more than 100,000 clients across the United States. Approximately 35% of our clients are direct with the remaining balance indirect, as they have contracts with Reseller Partners who white label our solutions.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strive to be the most trusted HCM resource. Our solutions solve three primary challenges that prevent businesses from growing: HR complexity, allocation of human and financial capital, and the ability to build great teams. We sell our solutions through both direct and partner channels. We supplement our direct sales efforts with partner programs that afford us access to opportunities in various geographic and industry niches. Asure has two types of partners: Reseller Partners that white label our products while providing value-added services to their clients (our indirect clients) and Referral Partners that provide us with client leads but do not resell our solutions. We have and will continue to invest in research and development to expand our solutions. Our solutions reduce the administrative burden on employers and increase employee productivity while managing the employment lifecycle. The Asure HCM suite includes eight product lines: Asure Payroll &amp; Tax, Asure HR Compliance, Asure Time &amp; Attendance, AsureRecruiting™, Asure Insurance and Benefits Administration, AsurePay™, Asure Tax Management Solutions,  and AsureMarketplace™ .</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were incorporated in 1985 as a Delaware corporation and our principal executive offices are located at 405 Colorado Street, Suite 1800, Austin, Texas 78701. Our telephone number is (512) 437-2700 and our website is www.asuresoftware.com. Information on our website is not part of this Annual Report on Form 10-K, however we do post information on the investor relations page of our website that we believe may be of interest to our investors.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We make available free of charge, on or through our website, our Annual Report on Form 10-K, quarterly reports on Form 10-Q, and current reports on Form 8-K, and amendments to those reports filed or furnished pursuant to Section 13(a) or 15(d) of the Exchange Act, as soon as reasonably practicable after we electronically file these materials or furnish them to the SEC. Reports and other information we file with the SEC may also be viewed at the SEC’s website at www.sec.gov.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SOLUTIONS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highlight w:val="yellow"/>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provide cloud-based payroll, HCM, payroll tax, treasury, and related technology-enabled services to employers and payroll industry participants. Our offerings are delivered through software platforms, outsourced processing services, integrated payment capabilities, and hardware solutions. Revenue is generated through a combination of recurring per-employee-per-month fees, transaction-based processing fees, implementation and setup fees, fees associated with payment processing and funds movement, and hardware sales and Hardware-as-a-Service (“HaaS”) arrangements.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Payroll and Human Capital Management Solutions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Payroll and HCM Solutions are primarily designed for small and mid-sized employers and provide payroll processing, workforce management, compliance support, and related employee services. Clients may purchase individual point solutions, adopt bundled platform offerings, or engage us to provide administrative managed services under which we perform certain payroll, HR, compliance, and workforce administration functions on their behalf. These managed services are delivered using our technology platforms and operational infrastructure.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Payroll Processing and Compliance. </w:t>
      </w:r>
      <w:r>
        <w:rPr>
          <w:rFonts w:ascii="Times New Roman" w:eastAsia="Times New Roman" w:hAnsi="Times New Roman" w:cs="Times New Roman"/>
          <w:b w:val="0"/>
          <w:i w:val="0"/>
          <w:sz w:val="20"/>
        </w:rPr>
        <w:t>We provide payroll calculation and processing services, including wage and overtime calculations, garnishments, direct deposit processing, and related payroll administration. Our systems apply current federal, state, and local tax tables and support timely filing and remittance of payroll taxes across U.S. jurisdictions. We assist clients with periodic and annual filing requirements, including Forms W-2 and Affordable Care Act (“ACA”) reporting. Our solutions include general ledger integration and employee self-service functionality that allows employees to access pay information, update personal data, and manage payroll-related preferences.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Human Resources and Workforce Management. </w:t>
      </w:r>
      <w:r>
        <w:rPr>
          <w:rFonts w:ascii="Times New Roman" w:eastAsia="Times New Roman" w:hAnsi="Times New Roman" w:cs="Times New Roman"/>
          <w:b w:val="0"/>
          <w:i w:val="0"/>
          <w:sz w:val="20"/>
        </w:rPr>
        <w:t>We provide HR compliance and workforce management services through tiered service offerings. These services include access to HR resource libraries, regulatory updates, policy guidance, and advisory support related to employment laws and workplace practices. Certain service levels provide more comprehensive HR support, including assistance with workforce planning, performance management processes, documentation, and compliance oversight.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Time and Attendance. </w:t>
      </w:r>
      <w:r>
        <w:rPr>
          <w:rFonts w:ascii="Times New Roman" w:eastAsia="Times New Roman" w:hAnsi="Times New Roman" w:cs="Times New Roman"/>
          <w:b w:val="0"/>
          <w:i w:val="0"/>
          <w:sz w:val="20"/>
        </w:rPr>
        <w:t>Our time and attendance solutions enable employers to capture employee work hours, manage labor scheduling, and monitor labor costs. The platform integrates with payroll processing and supports mobile time capture, geo-positioning verification, and biometric authentication technologies. We offer time clock hardware and related data collection devices as one-time purchases or through HaaS arrangements. The system provides real-time dashboards, automated notifications, and reporting tools to support labor management and operational oversight.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Talent Acquisition. </w:t>
      </w:r>
      <w:r>
        <w:rPr>
          <w:rFonts w:ascii="Times New Roman" w:eastAsia="Times New Roman" w:hAnsi="Times New Roman" w:cs="Times New Roman"/>
          <w:b w:val="0"/>
          <w:i w:val="0"/>
          <w:sz w:val="20"/>
        </w:rPr>
        <w:t>We provide applicant tracking and recruiting tools designed to support job posting distribution, applicant management, interview scheduling, and related hiring workflows. The system supports integration with third-party job boards and provides employers with applicant tracking, communication, and reporting functionality.</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Benefits and Retirement Administration. </w:t>
      </w:r>
      <w:r>
        <w:rPr>
          <w:rFonts w:ascii="Times New Roman" w:eastAsia="Times New Roman" w:hAnsi="Times New Roman" w:cs="Times New Roman"/>
          <w:b w:val="0"/>
          <w:i w:val="0"/>
          <w:sz w:val="20"/>
        </w:rPr>
        <w:t>We provide insurance brokerage and benefits administration services, including support for employer-sponsored health plans, eligibility tracking, ACA reporting, and Consolidated Omnibus Budget Reconciliation Act (“COBRA”) administration. In addition, we provide retirement plan administration services, including 401(k) plan support and related compliance services. These solutions integrate with payroll processing to support enrollment, payroll deductions, and required reporting.</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Employee Financial and Payment Services. </w:t>
      </w:r>
      <w:r>
        <w:rPr>
          <w:rFonts w:ascii="Times New Roman" w:eastAsia="Times New Roman" w:hAnsi="Times New Roman" w:cs="Times New Roman"/>
          <w:b w:val="0"/>
          <w:i w:val="0"/>
          <w:sz w:val="20"/>
        </w:rPr>
        <w:t>We offer employee-directed payment services integrated with payroll processing, including payroll debit card programs and earned wage access solutions. These services facilitate electronic payment distribution and related funds movement and may generate transaction-based and payment processing-related fees.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Enterprise Payroll Tax and Treasury Solutions.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Enterprise Payroll Tax and Treasury Solutions are designed for payroll service bureaus, large employers, and systems integrators that support enterprise HCM environments. These solutions support payroll tax calculation, filing, remittance, and related treasury functions across multiple jurisdictions.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Payroll Tax Processing Platforms. </w:t>
      </w:r>
      <w:r>
        <w:rPr>
          <w:rFonts w:ascii="Times New Roman" w:eastAsia="Times New Roman" w:hAnsi="Times New Roman" w:cs="Times New Roman"/>
          <w:b w:val="0"/>
          <w:i w:val="0"/>
          <w:sz w:val="20"/>
        </w:rPr>
        <w:t>We provide software platforms that enable payroll providers and enterprise employers to calculate, file, and manage payroll tax obligations across federal, state, and local jurisdictions. These platforms integrate with payroll and HCM systems and support multi-jurisdiction compliance requirements.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Outsourced Payroll Tax Services. </w:t>
      </w:r>
      <w:r>
        <w:rPr>
          <w:rFonts w:ascii="Times New Roman" w:eastAsia="Times New Roman" w:hAnsi="Times New Roman" w:cs="Times New Roman"/>
          <w:b w:val="0"/>
          <w:i w:val="0"/>
          <w:sz w:val="20"/>
        </w:rPr>
        <w:t>We provide full-service payroll tax filing and reporting services for payroll service bureaus and enterprise employers. These services include preparation and filing of tax returns, amendment processing, notice management, and regulatory reporting support.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Treasury and Funds Management Services. </w:t>
      </w:r>
      <w:r>
        <w:rPr>
          <w:rFonts w:ascii="Times New Roman" w:eastAsia="Times New Roman" w:hAnsi="Times New Roman" w:cs="Times New Roman"/>
          <w:b w:val="0"/>
          <w:i w:val="0"/>
          <w:sz w:val="20"/>
        </w:rPr>
        <w:t>We facilitate tax payment remittance, settlement processing, and related funds movement services in connection with payroll tax obligations. These services may involve transaction-based and processing-related fees associated with tax payments and settlement activity.</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Platform Integrations and Marketplace.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platform includes integrations with third-party applications and service providers to facilitate data exchange and interoperability across payroll, HR, benefits, and related systems. We maintain a portfolio of pre-built integrations and partner relationships that enable clients to connect external services to our platforms. Revenue associated with these integrations may include transactional, referral, or service-related fees, depending on the nature of the arrangement.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PRODUCT DEVELOPMENT</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HCM industry is characterized by continuing improvements in technology, resulting in the frequent introduction of new products, short product life cycles, changes in client needs, and continual improvement in product performance characteristics. We strive to be cost-effective and timely in enhancing our solutions, developing software that addresses the varied needs of growing businesses and anticipating technological advances while adhering to payroll and HCM industry standards. First-to-market mobile applications are a testament to our success in innovation.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development teams work with clients and sales and marketing teams to build solutions based on market requirements and client feedback. We also garner inputs from clients, competitive comparisons, and relevant technology innovations. Development teams are staffed with product owners, solutions architects, software engineers, software engineers in test, quality assurance analysts, technical writers, scrum masters and usability designers.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research and development strategies are based on agile methodologies that foster continuous innovation and improvement with collaboration with stakeholders. The development team enhances the functionality of our solutions through new feature releases, with a focus on solutions delivered as SaaS for businesses that struggle with complexity and Reseller Partners that need back-office tools and scalable infrastructure. We continue to evaluate opportunities for developing new solutions that enable organizations to streamline and automate HR tasks associated with growing their businesses. We seek to simultaneously allow organizations to improve their productivity while reducing the costs associated with those tasks.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continually work to automate processes using Robotic Process Automation (“RPA”) by developing “bots” that perform repetitive tasks. These bots act as digital workers that make us more efficient and eliminate errors. Most importantly, our RPA initiatives allow us to quickly take advantage of new opportunities and scale the business without the expense or lead times required to hire additional staff.</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SALES AND DISTRIBUTION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sell our solutions through both direct and partner models. Prospective clients learn about Asure in a variety of ways, including advertising, website and AI searches, sales calls, public relations, referral channels, direct marketing, and social media. When prospective clients show an interest in Asure, they are connected with a sales representative, who works to close the sale, via Asure’s website, phone, or a face-to-face meeting by discussing solutions that meet their needs. We track our marketing and sales activities to provide immediate insights into activities, leads and pipeline opportunities. Our account management teams work with clients to promote and sell additional solutions that are relevant for each client. We supplement our direct sales efforts with partner programs. By working with partners, we gain access to opportunities in various geographic and industry niches.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Asure has two distinct partners: Reseller Partners and Referral Partners.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Reseller Partners.</w:t>
      </w:r>
      <w:r>
        <w:rPr>
          <w:rFonts w:ascii="Times New Roman" w:eastAsia="Times New Roman" w:hAnsi="Times New Roman" w:cs="Times New Roman"/>
          <w:b w:val="0"/>
          <w:i w:val="0"/>
          <w:sz w:val="20"/>
        </w:rPr>
        <w:t xml:space="preserve"> Reseller Partners pay us recurring license fees to white label our solutions while providing value-added services to their clients (our indirect clients). There are generally two types of Reseller Partners: regional payroll providers and trusted advisors (e.g., CPAs, regional banks, and benefit brokers). Regional payroll providers typically focus on a specific geographic area or industry. They have proven to be attractive alternatives for companies’ payroll and HCM needs. Since trusted advisors are relied on by entrepreneurs and executives to advise on payroll and HR decisions, white labeling our solutions allows them to provide additional solutions directly to their clients.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Reseller Partners are the primary source of our acquisitions. Because they white label our solutions, technology integration risk is lessened. By acquiring Reseller Partners, we gain a presence in specific geographic (typically less densely populated U.S. metropolitan cities) and industry niches. These acquisitions help Asure gain scale by assuming all of the Reseller Partners’ revenue rather than a recurring licensing fee. Reseller Partners can continue to license our solutions with the opportunity to expand their available solutions, or they can come under the Asure umbrella.</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Referral Partners.</w:t>
      </w:r>
      <w:r>
        <w:rPr>
          <w:rFonts w:ascii="Times New Roman" w:eastAsia="Times New Roman" w:hAnsi="Times New Roman" w:cs="Times New Roman"/>
          <w:b w:val="0"/>
          <w:i w:val="0"/>
          <w:sz w:val="20"/>
        </w:rPr>
        <w:t xml:space="preserve"> Referral Partners are typically trusted advisors or referral agents that provide us with client leads but do not resell our solutions. Since companies rely on their trusted advisors and agents to guide them in selecting payroll and HCM solutions, we have found this to be a fruitful source of leads. Referral Partners provide qualified leads that convert to clients at a higher rate than non-referral leads. We have been successful in nurturing some Referral Partners to become Reseller Partners over time as the referral relationships develop and they become more comfortable in the HCM space.</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COMPETITION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market for HCM solutions is competitive and subject to evolving technology, shifting client needs, and regular introduction of new products and services. Our competitors range from regional payroll companies to large, well-established companies with multiple product offerings.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Competition in the HCM market is based on product and service quality and reputation, scope of service, application offering and price. Price tends to be the most important factor of competition for our small business clients with fewer employees, while the range of features, implementation, and scalability is more important to our clients with larger businesses.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compete with companies that provide HCM solutions by various means. Many providers continue to deliver legacy enterprise software, but there is increased competition in the delivery of HCM cloud-based solutions by other SaaS providers. Competitors in the HCM market tend to fluctuate and vary by product line. However, Asure’s main competitors are ADP, Paychex, UKG, Paylocity, Paycom, Ceridian, isolved, and Gusto.</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While Asure has the advantage of a flexible, easy to use, cloud-based SaaS-delivered solution that is affordable and has a proven deployment methodology, Asure faces several competitive challenges: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sz w:val="20"/>
        </w:rPr>
        <w:t>Vendors with face-to-face sales contact.</w:t>
      </w:r>
      <w:r>
        <w:rPr>
          <w:rFonts w:ascii="Times New Roman" w:eastAsia="Times New Roman" w:hAnsi="Times New Roman" w:cs="Times New Roman"/>
          <w:b w:val="0"/>
          <w:i w:val="0"/>
          <w:sz w:val="20"/>
        </w:rPr>
        <w:t xml:space="preserve"> In this highly relationship-based sales process, vendors with large, dispersed field-based sales teams who meet and consult with prospects have an advantage. Vendors that approach the market in this manner include ADP, Paychex, UKG, and Paylocity.</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sz w:val="20"/>
        </w:rPr>
        <w:t>National payroll processors with loss-leader products.</w:t>
      </w:r>
      <w:r>
        <w:rPr>
          <w:rFonts w:ascii="Times New Roman" w:eastAsia="Times New Roman" w:hAnsi="Times New Roman" w:cs="Times New Roman"/>
          <w:b w:val="0"/>
          <w:i w:val="0"/>
          <w:sz w:val="20"/>
        </w:rPr>
        <w:t xml:space="preserve"> Large brand and market share payroll processing vendors (such as ADP and Paychex) offer equivalent point solutions at little or no cost to prospects when they sign up for the first few months when in a competitive engagement because the short-term lost revenue is inconsequential compared with the long-term revenue they expect to receive over the next 8 to 10 years with that same client.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Some of our competitors, both current and future, may have greater financial, technical and marketing resources than us and therefore may be able to respond more quickly to new or emerging technologies and changes in client requirements. As a result, they may compete more effectively on price and other terms. Additionally, those competitors may devote greater resources in developing products or in promoting and selling their products to achieve greater market acceptance. We are actively taking measures designed to address competitive challenges, and clients tend to recognize the benefits of working with an established and publicly traded partner versus a start-up or transitional vendor. However, we cannot ensure that we will be able to achieve or maintain a competitive advantage with respect to any of these competitive factors.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MARKETING</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marketing strategy relies on a comprehensive integrated plan rooted in our business objectives. Our marketing plan includes four primary objectives: build brand awareness, develop lead generation programs that drive revenue, launch products in a meaningful way, and develop an infrastructure that supports and measures marketing activities.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deploy direct marketing programs to drive awareness, interest and revenue. Marketing vehicles include our website, organic and paid search, advertising, public relations, direct marketing, events, social media, content marketing, reputation management, and other digital marketing tactics. Our marketing plan addresses growth and retention goals for key target audiences throughout the United States.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SALES ENABLEMENT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continue to invest in sales enablement tools, processes, and best-practice training of our sales organization. We have implemented and continue to optimize an end-to-end lead generation process that generates leads from marketing activities and captures and tracks all digital click behavior of the lead in our marketing automation software and customer relation management. We follow up with leads and take all through a qualification process that ends in a closed loop of either won/lost opportunities or leads that get passed back to marketing for further nurturing. Sales Enablement staff support sales with product training, client and prospect demonstrations, and marketing webinars as well as best practices in modern selling that leverages email, social media, and online video.</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INDUSTRY REGULATION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Many of our solutions are designed to assist clients with their compliance with certain U.S. laws and regulations that apply to them, particularly in their capacity as employers under state and federal laws. Failure to comply with existing laws or regulations or to anticipate and incorporate new laws and regulations into our services to remain compliant could have a materially adverse effect on our reputation, results of operations or financial condition, or have other adverse consequences.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Data privacy and security of data is subject to strict regulatory oversight. The laws governing the collection, processing, and storage of personal and sensitive data differ between jurisdictions and differ based on the type of data collected. We collect and process the personal and sensitive information of clients, clients of our Reseller Partners, employees of our clients and Reseller Partners, vendors, and our own employees. In general, data that we process and store includes personally identifying information such as names, addresses, social security numbers, and bank account information. As part of our time and attendance products, data that we process and store includes biometric data. We are, therefore, subject to certain compliance obligations under federal, state, and foreign privacy and data security-related laws. For instance, in the United States, the Health Insurance Portability and Accountability Act of 1996, including the related data security provisions, applies to our flexible spending account services. We are also subject to federal and state security, privacy, and security breach notification laws with respect to personal and sensitive data as defined under such laws. Such state and federal laws include laws such as the California Consumer Privacy Act of 2018, as amended and the Illinois Biometric Information Privacy Act and rules and regulations promulgated under the Federal Trade Commission. Many other states where we operate have recently enacted new data privacy laws, and we expect other jurisdictions to adopt similar laws in the future. These new laws track significant portions of existing laws but include differences that may or may not increase our compliance burden. We have a small number of end-user clients located in the European Union using our time and attendance software. Accordingly, the EU’s General Data Protection Regulation applies to the collection, processing, and storage of applicable sensitive and personal data. In some instances, these laws provide for civil penalties for violations and private rights of action for data breaches or other violations of the law. Moreover, enforcement actions and investigations by regulatory authorities related to data security incidents and privacy violations continue to increase. The future enactment of more restrictive laws, rules, or regulations and/or future enforcement actions or investigations could have a materially adverse impact on us through increased costs or restrictions on our businesses, and noncompliance could result in regulatory penalties and significant legal liability. Failure to comply with data privacy laws and regulations could have a materially adverse effect on our reputation, results of operations, or financial condition; or have other adverse consequences.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As part of our payroll and payroll tax solutions, we move funds from clients’ accounts to employees, taxing authorities, and other payees. Over the past few years, a number of state regulators have expanded their interpretation of state money transmission and money service business statutes to include these standard payroll processing activities, necessitating our registering in certain jurisdictions as a money transmitter. We are licensed as a payroll processor in jurisdictions requiring licensure of payroll processors. We are licensed as a money transmitter in jurisdictions that require payroll processors to be licensed under state money transmission laws. Due to the constantly evolving regulatory landscape, we continuously monitor state legislative developments and shifting interpretations of transmission laws, proactively seeking licensure where required. Money transmission activities may be subject to anti-money laundering laws at the state and federal levels. The applicable laws may include: the anti-money laundering and reporting provisions of The Bank Secrecy Act of 1970, as amended by the USA PATRIOT Act of 2000, which apply to money services businesses, and all related laws and regulations, including the requirement to verify customer identification and report suspicious activities to applicable authorities.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As part of our insurance brokerage solutions, we (and applicable employees) are licensed by the insurance regulators in each of the 50 states and the District of Columbia.</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Many of our solutions assist clients in complying with certain U.S. laws and regulations that apply to them, particularly in the human resources and employment law areas such as wage payment laws, state payroll tax filing and reporting, employee onboarding, and compliance with the Internal Revenue Service (“IRS”) rules governing employers including tax withholdings, payroll tax filing and the preparation of Form W-2. Our HCM solutions assist clients with managing their compliance with other laws, including helping to meet their obligations as a plan sponsor under COBRA; sponsor and administer compliant Flexible Spending Account Plans; and provide compliant Consumer Health Care Plans, such as Health Savings Accounts and Health Reimbursement Accounts.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TRADEMARKS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yellow"/>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have registered Asure Software® as a federal trademark with the U.S. Patent and Trademark Office. Asure’s other core federally registered trademarks include Asure®, AsureForce®, AsureHCM®, Evolution®, and Lathem®.</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EMPLOYEES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As of December 31, 2025, we had a total of 641 employees, 627 of which are full-time employees. The headcount by department includes 90 in research and development, 166 in sales and marketing, 265 in customer service and technical support, and 120 in administration and management.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continually evaluate and adjust the size and composition of our workforce. We also periodically retain contractors to support our sales and marketing, information technology and administrative functions. None of our employees are represented by a collective bargaining agreement. We have not experienced any work stoppages. Additionally, we augment our workforce capacity in research and development and client service and technical support by contracting for services through third parties.</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5" w:name="Section6"/>
      <w:bookmarkEnd w:id="5"/>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1A.</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RISK FACTORS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following risk factors and other information included throughout this Form 10-K, including those risks identified in Part II, Item 7 “Management’s Discussion and Analysis of Financial Condition and Results of Operations” represent our view of some of the most important risks we face. The risks and uncertainties described below are not the only ones we face. Additional risks and uncertainties not presently known to us or that we presently deem less significant may also impair our business operations. If any of the events or circumstances described in the following risk factors actually occurs, our business, operating results and financial condition could be materially adversely affected.</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Refer to the cautionary note regarding forward-looking statements at the beginning of Part 1 of this Form 10-K.</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RISKS RELATED TO OUR BUSINESS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If our security measures, or those of our third-party data center hosting facilities, cloud computing platform providers or third-party service partners are compromised or breached, or if personal information of our clients or their employees is accessed or obtained, our services and HCM solution may be perceived as not being secure, our brand could be damaged, our services may be disrupted, and customers may curtail or stop using our services, all of which could reduce our revenue and earnings, increase our expenses, and expose us to legal claims and regulatory actions.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solution involves the collection, storage and transmission of clients’ and their employees’ confidential and proprietary information, including personal identifying information such as social security numbers and data protected by the Health Insurance Portability and Accountability Act of 1996 (“HIPAA”) with respect to our consumer health care administration services, as well as financial and payroll data. This type of data is highly sensitive and is regulated by laws in all jurisdictions governing the security and privacy of personal information. HCM software is often targeted in cyber-attacks, including computer viruses, worms, phishing attacks, malicious software programs and other information security breaches due to the sensitive nature of the data, which could result in the unauthorized release, gathering, monitoring, misuse, loss or destruction of our clients’ sensitive data or otherwise disrupt our clients’ or other third parties’ business operations. If cybercriminals are able to circumvent our security measures, or if we are unable to detect an intrusion into our systems and contain such intrusion in a reasonable amount of time, our clients’ sensitive data may be compromised, as well as our intellectual property and other confidential business information.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 addition to malicious acts by third parties, unauthorized access to or breach of our systems could occur through employee error or employee malfeasance. Certain of our employees have access to sensitive information about our clients’ employees. While we conduct background checks of our employees and limit access to systems and data, it is possible that one or more of these individuals may circumvent these controls, resulting in a security breach.</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Although we have security measures in place to protect client information and prevent data loss and other security breaches, these measures could be breached as a result of third-party action, employee error, third-party or employee malfeasance or otherwise. Because the techniques used to obtain unauthorized access or to sabotage systems change frequently, we may not be able to anticipate these techniques and implement adequate preventative or protective measures. In addition, our customers may not have adequate security measures in place to protect their data that is stored on our services. Because we do not control our customers or third-party technology providers, or the processing of such data by third-party technology providers, we cannot ensure the integrity or security of such transmissions or processing.</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While we currently maintain a cyber liability insurance policy, the coverage limits of our cyber liability insurance may be inadequate or coverage under our cyber liability insurance policy may not be available in the future on acceptable terms, or at all. In addition, our cyber liability insurance policy may not cover all claims made against us, and defending a suit, regardless of its merit, could be costly and divert management’s attention from our business and operations. Moreover, if a high profile security breach occurs with respect to another SaaS provider in our market, our clients and potential clients may lose trust in the security of the SaaS business model generally, which could adversely impact our ability to retain clients or attract new ones. Any actual or perceived breach of our security could damage our reputation, cause existing clients and resellers to terminate our services, prevent future clients from doing business with us and result in regulatory liability and third-party liability, any of which could adversely affect our business and results of operations.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We have a history of losses, and we cannot be certain that we will achieve or sustain profitability.</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have historically incurred losses since our inception. We experienced a net loss from continuing operations of $13.1 million in the fiscal year ended December 31, 2025. At December 31, 2025, our accumulated deficit was $320.4 million and total stockholders’ equity was $197.8 million. We expect to continue to incur operating losses as a result of expenses associated with the continued development and expansion of our business. Such expenses include among others, transaction costs associated with acquisitions, sales and marketing, research and development, consulting and support services and other costs relating to the development, marketing and sale and service of our products that may not generate revenue until later periods, if at all. Any failure to increase revenue or manage our cost structure as we implement initiatives to grow our business could prevent us from achieving or sustaining profitability. In addition, our ability to achieve profitability is subject to a number of the risks and uncertainties discussed below, many of which are beyond our control, including the impact of the current economic environment. We cannot be certain that we will be able to achieve or sustain profitability on a quarterly or annual basis.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We may need additional capital to support business growth  or to make scheduled payments on or refinance our existing indebtedness. Such additional capital may have restrictions that could adversely affect our financial condition and our ability to respond to changes in our business or may be prevented entirely by our existing restrictive covenants.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intend to continue to make investments, including the acquisition of complementary businesses, to support our business growth and may need to respond to business challenges, including the need to develop new features or enhance our existing products, improve our operating infrastructure or acquire complementary businesses and technologies. However, our business may not generate cash flow from operations in the future sufficient to service our debt and support our growth strategies. Our future performance is subject to economic, financial, competitive, and other factors beyond our control. If we are unable to generate sufficient cash flow, we may be required to pursue one or more alternatives, such as reducing or delaying investments or capital expenditures, selling assets, restructuring debt, or obtaining additional equity or debt financing.</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If we raise additional funds through issuances of equity securities, our existing stockholders could suffer significant dilution, and any new equity securities we issue could have rights, preferences and privileges superior to those of holders of our common stock. If we incur debt to raise additional fund, we may not be able to do so on desirable terms. New indebtedness may adversely affect our financial condition and ability to respond to changes may be impaired by vulnerability to adverse economic conditions, limitations to decision flexibility and cash flow, competitive disadvantage caused by new scheduled payments or covenant restrictions.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Credit, Security, and Guaranty Agreement with MidCap Financial Trust may further restrict our cash flow and business flexibility, as well as potentially restricting other debt financing from occurring at all. Our agreement contains restrictive covenants, including restrictions on our ability to pay dividends to stockholders, as well as requirements to comply with certain leverage ratios and other financial maintenance tests and stringent requirements around regulatory compliance. These restrictive covenants and requirements limit the amount of borrowings that are available to us. The agreement covenants may also affect our ability to obtain future financing and to pursue attractive business opportunities and our flexibility in planning for, and reacting to, changes in business conditions. In addition, if for any reason we are unable to meet our debt service and repayment obligations, we would be in default under the terms of the agreement, which would allow our creditors at that time to declare all outstanding indebtedness to be due and payable. Under these circumstances, our lenders could compel us to apply all of our available cash to repay our indebtedness.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Volatility and weakness in bank and capital markets may adversely affect credit availability and related financing costs for us.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Banking and capital markets have recently and may in the future experience periods of volatility and disruption. If the disruption in these markets is prolonged, our ability to refinance, and the related cost of refinancing, some or all of our debt could be adversely affected. Although we currently can access the bank and capital markets, there is no assurance that such markets will continue to be a reliable source of financing for us. These factors, including the tightening of credit markets, could adversely affect our ability to obtain cost effective financing. Increased volatility and disruptions in the financial markets also could make it more difficult and more expensive for us to refinance outstanding indebtedness and to obtain financing. In addition, the adoption of new statutes and regulations, the implementation of recently enacted laws, or new interpretations or the enforcement of older laws and regulations applicable to the financial markets or the financial services industry could result in a reduction in the amount of available credit or an increase in the cost of credit. Disruptions in the financial markets can also adversely affect our lenders, insurers, customers, and other counterparties. Any of these results could have a material adverse effect on our business, financial condition, and results of operations.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We have acquired and plan to continue to acquire from time to time our Reseller Partners’ businesses that have licensed our proprietary software and other complementary businesses either through stock acquisition or through an asset purchase of their client service agreements and related assets. These acquisitions could prove difficult to integrate, result in unknown or unforeseen liabilities, disrupt our business, dilute stockholder value and ownership and adversely affect our operating results and financial condition.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Acquisitions and investments involve numerous risks, including:</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potential failure to achieve the expected benefits of the combination or acquisition;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difficulties in, and the cost of, integrating operations, technologies, services, platforms and personnel;</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diversion of financial and managerial resources from existing operations;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potential entry into new markets in which we have little or no experience or where competitors may have stronger market positions;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potential write-offs of acquired assets or investments, and potential financial and credit risks associated with acquired customers;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potential loss of key employees of the acquired company;</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inability to generate sufficient revenue to offset acquisition or investment costs;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inability to maintain relationships with customers and partners of the acquired business;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difficulty of transitioning the acquired technology onto our existing platforms and customer acceptance of multiple platforms on a temporary or permanent basis;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increasing or maintaining the security standards for acquired technology consistent with our other services;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potential unknown liabilities associated with the acquired businesses including regulatory noncompliance;</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negative impact to our results of operations because of the depreciation and amortization of amounts related to acquired intangible assets, fixed assets and deferred compensation;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additional stock based compensation;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loss of acquired deferred revenue and unbilled deferred revenue;</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delays in customer purchases due to uncertainty related to any acquisition;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ineffective or inadequate controls, procedures and policies at the acquired company;</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potential additional cybersecurity and compliance risks resulting from entry into new markets; and</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tax effects of any such acquisitions.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Any of these risks could have an adverse effect on our business, operating results and financial condition. To facilitate these acquisitions or investments, we may seek equity or debt financing, which may not be available on terms favorable to us, or at all, which may affect our ability to complete acquisitions or investments. If we finance acquisitions by issuing equity or convertible or other debt securities or loans, or issue equity as consideration for an acquisition, our existing stockholders may be diluted, or we could face constraints related to the terms of, and repayment obligations related to, the incurrence of indebtedness.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Privacy concerns and laws and other regulations may limit the effectiveness of our applications and adversely affect our business.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products and services are subject to various complex laws and regulations on the federal, state and local levels, including those governing data security, privacy, payroll, benefits administration, insurance brokerage, and other regulated service offerings. As a provider of human capital management solutions and insurance brokerage services, we process sensitive employee and client data, including personal, financial, biometric, and health-related information, which subjects us to an extensive and evolving regulatory landscape that creates significant ongoing compliance obligations.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regulatory framework for privacy and data security is rapidly evolving and will remain uncertain as more jurisdictions adopt laws and regulations regarding the collection, processing, storage and disposal of personal information. In the United States, these laws include regulations promulgated by the Federal Trade Commission, HIPAA, and state security and privacy laws such as the California Consumer Privacy Act, as amended by the California Privacy Rights Act (the "CCPA"), and the Illinois Biometric Information Privacy Act ("IBIPA") governing biometric data. Additional states have enacted comprehensive privacy laws in recent years, including Virginia, Colorado, Connecticut, Texas, and Oregon, among others, and further states may adopt similar legislation in the future. These laws frequently track significant portions of existing frameworks but include differences that may increase our compliance burden. Some of these laws, such as the CCPA and IBIPA, also grant consumers private rights of action for data breaches or violations, as applicable.</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Beyond privacy, our services are subject to a broad range of additional federal and state laws and regulations, including the Fair Labor Standards Act, the Employee Retirement Income Security Act, COBRA, state wage and hour laws, IRS payroll tax regulations, anti-money laundering regulations, federal and state laws governing prepaid and payroll card products, and state insurance laws and regulations governing our insurance brokerage and third-party administrator ("TPA") activities. We maintain insurance producer licenses in all 50 states and the District of Columbia, and TPA licenses in states where such licensure is required, and our ability to operate these lines of business depends on maintaining those licenses in good standing across each applicable jurisdiction. Our insurance brokerage and TPA operations are subject to oversight by state departments of insurance in each jurisdiction in which we operate. Because many of our solutions are designed to help clients manage their own compliance obligations, changes in applicable laws could simultaneously increase our own compliance burden while requiring us to rapidly update the tools and applications we provide to clients. Changes in laws could also impact applications under development, rendering them inapplicable or obsolete mid-development and resulting in wasted time and development costs. Certain of our product offerings are provided in partnership with or through third-party program managers, and any regulatory non-compliance or adverse regulatory action involving those third parties could disrupt our ability to offer such products and adversely affect our business and results of operations.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failure to comply with existing laws and regulations, or to anticipate and respond to regulatory changes in a timely fashion, may result in civil liability from our clients for noncompliance, regulatory fines, loss of reputation, and a material adverse effect on our business, financial condition, and results of operations. Furthermore, we could fail to renew expiring licenses or have active licenses suspended or revoked for noncompliance with rules or regulations issued by licensing bodies, including state departments of insurance. Any such failure could adversely affect our ability to offer certain services, damage client relationships, and harm our business and results of operations.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The adoption of new or interpretation of existing money service business statutes and money transmitter statutes at the federal and state level could subject us to additional regulation and related expense and necessitate changes to our business model.</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As part of our payroll processing services, we impound funds from employer clients and remit payments to employees, taxing authorities, and designated third parties on their behalf. This money movement activity subjects us to federal and state laws and regulations governing money service businesses and money transmitters, the application of which to payroll processors continues to evolve across jurisdictions.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adoption of new money transmitter or money service business statutes in new jurisdictions, changes in regulators' interpretations of existing statutes, or disagreement by regulators with our interpretation of such statutes or regulations could require additional registrations or licensing, limit certain of our business activities until we are properly licensed, and expose us to financial penalties. These occurrences could also require changes to the manner in which we conduct some aspects of our money movement business or our overall business strategy.</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At the federal level, the Financial Crimes Enforcement Network (“FinCEN”) has not declared payroll processing to constitute money transmission. Nonetheless, out of an abundance of caution, we have proactively registered with FinCEN and maintain a comprehensive Anti-Money Laundering ("AML") Policy and compliance program designed to mitigate the risk of our services being utilized for illegal purposes, including money laundering, and to assist in detecting fraud. At the state level, we currently hold money transmission licenses or payroll processor licenses in all jurisdictions in which we believe such licensure is required. Maintaining these licenses entails significant ongoing costs, including surety bond premiums, examination fees, and other compliance expenditures. These costs may increase as regulatory requirements evolve, as bonding authorities reassess our risk profile, or as the volume of funds we process grows. Due to the constantly evolving regulatory landscape, we continuously monitor state legislative developments and shifting regulatory interpretations, proactively seeking licensure in any jurisdiction where new requirements may apply.</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money transmitter and payroll processor licenses subject us to routine examinations by the regulatory agencies overseeing those licenses. If such examinations reveal violations that cannot be remediated, we may be subject to civil and criminal fines and penalties and could lose our license to provide services in the affected jurisdictions, any of which could have a material adverse effect on our business and results of operations. Further, should states or other jurisdictions where we are not currently licensed determine that we are a money service business or money transmitter, we could be subject to civil and criminal fines and penalties, registration fees, surety bond requirements, reputational damage, and other negative consequences that could have a material adverse effect on our financial condition and results of operations.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Our software and solutions may not function adequately, which could damage our reputation and give rise to claims against us, which could harm our business and operating results.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software and solutions are complex and operate in an environment of intricate federal, state and local regulations that pertain to human resources, taxes, payroll, benefits and other areas of the Human Capital Management marketplace. To the extent to which our software contains defects or errors our clients might assert claims against us in the future alleging that they suffered damages due to a defect, error or other failure of our software or solutions.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While our agreements with our clients may contain provisions intended to limit our exposure to such claims, they may not be effective in limiting our exposure. A successful claim for product or service liability brought against us could result in substantial cost to us. We maintain insurance to cover such claims, however, it may be inadequate or may not be available in the future on acceptable terms or at all. In addition, the cost of defending a suit, regardless of its merit, could be costly and divert management’s attention.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We depend on data centers and computing infrastructure operated by third parties, and any disruption in these operations or changes of these providers could adversely affect our business.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rely on hosted infrastructure partners, such as Amazon Web Services and to a lesser extent, data center providers, to provide third-party hosted environments for our applications. While we control and have access to our servers and all the components of the networks that are located in our hosted environments, we do not control the operations of these facilities. The owners of such facilities have no obligation to renew their agreements with us on commercially reasonable terms. If we are not able to renew these contracts on commercially reasonable terms, we may be required to transfer our servers and other infrastructure to new data facilities, and we may incur significant costs and possible service interruption in doing so. We may not have adequately distributed our systems within our hosted infrastructure partner’s environment to prevent in any regional disruption or interference at our hosted infrastructure partners from adversely impacting our operations and our business.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SaaS hosting network infrastructure is a critical part of our business operations. Our clients access our HCM software through a standard web browser and depend on us for fast and reliable access to our products. Our software is proprietary, and we rely on third-party data center hosting facilities and the expertise of members of our engineering and software development teams for the continued performance of our software. We have experienced, and may in the future experience, disruptions in our computing and communications infrastructure. Factors that may cause such disruptions include:</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0" w:right="0" w:firstLine="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human error;</w:t>
      </w: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security breaches;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telecommunications outages from third-party providers;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computer viruses;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acts of terrorism, war, sabotage or other intentional acts of vandalism, including cyber attacks;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unforeseen interruption or damages experienced in moving hardware to a new location, including government-imposed travel restrictions;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fire, earthquake, flood, the spread of major epidemics and other natural disasters; and</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power loss.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Although we generally back up our client databases hourly, and store our data in more than one geographically distinct location at least weekly, we do not currently offer immediate access to disaster recovery locations in the event of a disaster or major outage. Thus, in the event of any of the factors described above, or other failures of our computing infrastructure, clients may not be able to access their data for lengthy periods of time and it is possible that client data from recent transactions may be permanently lost or otherwise compromised. In addition, we may not have adequate insurance coverage to compensate for losses from a major interruption. Moreover, some of our agreements include performance guarantees and service level standards that obligate us to provide credits, refunds or termination rights in the event of a significant disruption in our SaaS hosting network infrastructure or other technical problems that relate to the functionality or design of our software.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We incur significant costs as a result of operating as a public company, and our management will devote substantial time to new compliance initiatives, including incremental requirements as a result in a change of filer status. We may fail to comply with the rules that apply to such public companies, which could result in sanctions or other penalties that would harm our business.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incur significant legal, accounting and other expenses as a public company, including costs resulting from public company reporting obligations under the Securities Exchange Act of 1934, as amended (the “Exchange Act”), the Sarbanes-Oxley Act of 2002, and regulations regarding corporate governance practices. The listing requirements of The Nasdaq Capital Market require that we satisfy certain corporate governance requirements relating to director independence, distributing annual and interim reports, stockholder meetings, approvals and voting, soliciting proxies, conflicts of interest and a code of conduct. Our management and other personnel devote a substantial amount of time to ensure that we comply with all of these requirements. Moreover, new reporting requirements, rules and regulations will increase our legal and financial compliance costs and will make some activities more time consuming and costly. Any changes we make to comply with these obligations may not be sufficient to allow us to satisfy our obligations as a public company on a timely basis, or at all.</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Some of our key components are procured from a single or limited number of suppliers. Thus, we are at risk of shortages, price increases, tariffs, changes in international trade policies or treaties, delays, or discontinuation of key components, which could disrupt and materially and adversely affect our business.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Some of the key components used to manufacture our Time and Attendance products come from limited or single sources of supply. We do not have contractual commitments or guaranteed supply arrangements with our suppliers. As a result, we are subject to the risk of shortages and long lead times in the supply of our components or products. Further, recent increase in tariffs and the impositions of new trade restrictions by the United States and other countries have created uncertainty and volatility in global markets, particularly those affecting key manufacturing regions. Other factors which may affect our suppliers’ ability or willingness to supply components to us include internal management or reorganizational issues, such as roll-out of new equipment which may delay or disrupt supply of previously forecasted components, or industry consolidation and divestitures, which may result in changed business and product priorities among certain suppliers. It could be difficult, costly and time-consuming to obtain alternative sources for these components, or to change product designs to make use of alternative components. In addition, difficulties in transitioning from an existing supplier to a new supplier could create delays in component availability that would have a significant impact on our ability to fulfill orders for our products.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We have previously identified a material weakness in our internal control over financial reporting and may identify additional material weaknesses in the future, fail to remediate the identified material weakness, or otherwise fail to maintain an effective system of internal control, all of which, if they occur, may result in material misstatements of our financial statements.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 connection with the preparation of our Annual Report for the year ended December 31, 2024, we identified a material weakness in our internal controls over financial reporting. A material weakness is a deficiency, or a combination of deficiencies, in internal control over financial reporting such that there is a reasonable possibility that a material misstatement of our annual or interim financial statements will not be prevented or detected on a timely basis. See Item 9A. Controls and Procedures included in Item II of this Annual Report for more information about the identified material weakness and its remediation.</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While we have implemented measures and remediated the identified material weakness, we cannot give assurance that these measures will prevent additional material weaknesses or significant deficiencies in our internal controls over financial reporting from occurring. If additional material weaknesses or significant deficiencies in our internal control over financial reporting are discovered or occur in the future, we may not detect errors in a timely manner, our financial statements could be misstated, we could face a loss of confidence by stakeholders, or we could be subject to regulatory scrutiny, sanctions, or litigation, any of which could harm our business, financial condition, results of operations, or the market price of our securities.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If we are unable to release timely updates to reflect changes in wage and hour laws, tax, privacy, benefit and other laws and regulations that our products help our clients address, the market acceptance of our products may be adversely affected and our revenues could decline.</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solutions are affected by changes in wage and hour laws, tax, privacy, benefit and other laws and regulations and generally must be updated regularly to maintain their accuracy, compliance and competitiveness. Although we believe our SaaS platform provides us with flexibility to release updates in response to these changes, we cannot be certain that we will be able to make the necessary changes to our solutions and release updates on a timely basis, or at all. Similarly, any compliance failure in our proprietary software and related internal processes will result in clients utilizing the affected services being out of compliance. Failure to provide a fully compliant SaaS solution could have an adverse effect on the functionality and market acceptance of our solutions and noncompliance could expose us and our clients to potential litigation, fines and penalties. Changes in laws and regulations may require us to make significant investments in modifying and improving our products or delay or cease sales of certain products, which could result in reduced revenues or revenue growth and our incurring substantial expenses and write-offs.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If we are not able to develop enhancements and new features to our products, keep pace with technological developments or respond to future technologies, our business, operating results and financial results will be adversely affected.</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future success relies on our capacity to attract new clients and increase revenue from existing clients, necessitating the ongoing improvement and innovation of our products. The timely completion, introduction, and market acceptance of enhancements or new features are crucial factors for success. Inability to meet client needs, develop/acquire successful features, or navigate market challenges could adversely affect our business, operating results, and financial condition.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products, designed to operate across various platforms and utilizing Internet tools and protocols, require continuous modification to align with changes in Internet-related hardware, software, communication, browser, and database technologies. Additionally, the emergence of technologies offering HCM software at lower prices or with increased efficiency poses competition challenges. Failing to respond promptly and cost-effectively to these technological shifts may render our products less marketable or competitive, potentially impacting our business, operating results, and financial condition negatively.</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Our business depends substantially on clients renewing their agreements with us, purchasing additional products from us or adding additional users. If our customers do not renew their agreements with us or reduce the services purchased, our revenue will decline and our business, operating results and financial condition may be adversely affected. If we cannot accurately predict subscription renewals or upgrade rates, we may not meet our revenue targets, which may adversely affect the market price of our common stock.</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 order for us to improve our operating results, it is important that our clients renew their agreements with us when the initial contract term expires and also purchase additional products or add additional users.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customers have no obligation to renew their agreements after the expiration of their agreement, and in the normal course of business, some customers have elected not to renew. Even if customers elect to renew, they may renew for fewer subscriptions, renew for shorter contract lengths, or switch to lower cost offerings of our services. Moreover, certain of our clients have the right to cancel their agreements for convenience, subject to certain notice requirements and, in some cases, early termination fees. It is difficult to predict attrition rates given our varied customer base of enterprise, varied sizes of our customers and the number of multi-year subscription contracts. Our client renewal rates may decline or fluctuate as a result of a number of factors, including their satisfaction or dissatisfaction with our products, our pricing, the prices of competing products or services, mergers and acquisitions affecting our client base, reduced hiring by our clients or reductions in our clients’ spending levels.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future success also depends in part on our ability to sell additional features and services, more subscriptions or enhanced editions of our services to our current customers. This may also require increasingly sophisticated and costly sales efforts. Similarly, the rate at which our customers purchase new or enhanced services depends on a number of factors, including general economic conditions and that our customers do not react negatively to any price changes related to these additional features and services.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 addition, if we cannot accurately predict subscription renewals or upgrade rates, we may not meet our revenue targets, which may adversely affect the market price of our common stock.</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Client funds that we hold in trust are subject to market, interest rate, credit and liquidity risk. The loss of these funds could have a material adverse effect on our business, financial condition and results of operations.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invest our funds held for clients in high quality, investment-grade marketable securities, money markets, and other cash equivalents. However, these funds held for clients are subject to general market, interest rate, credit, and liquidity risks. These risks may be exacerbated during periods of unusual financial market volatility. Any loss or inability to access client funds could have an adverse impact on our cash position and could require us to obtain additional sources of liquidity, and could have a material adverse effect on our business, financial condition and results of operations.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The markets in which we participate are highly competitive, and if we do not compete effectively, our operating results could be adversely affected.</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 market for payroll and HCM solutions is fragmented, highly competitive and rapidly changing. Our competitors vary, and include (i) our main competitors, such as ADP, Paychex, UKG, Paylocity, Paycom, Ceridian, isolved, and Gusto, (ii) competitors to Asure Time &amp; Attendance, such as UKG, Paychex, and ADP and (iii) primary competitors to our tax management solutions, such as Ceridian and ADP.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Several of our competitors are larger, have greater name recognition, longer operating histories, larger marketing budgets and significantly greater resources than we do, and are able to devote greater resources to the development, promotion and sale of their products and services. Some of our competitors could offer HCM solutions bundled as part of a larger product offering. In addition, many of our competitors have established marketing relationships, access to larger customer bases, and major distribution agreements with consultants, system integrators, and resellers.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Furthermore, our current or potential competitors may be acquired by third parties with greater available resources and the ability to initiate or withstand substantial price competition. As a result, our competitors may be able to develop products and services better received by our markets or may be able to respond more quickly and effectively than we can to new or changing opportunities, technologies, regulations or client requirements.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 addition, current and potential competitors have established, and might in the future establish, partner or form other cooperative relationships with vendors of complementary products, technologies or services to enable them to offer new products and services, to compete more effectively or to increase the availability of their products in the marketplace. New competitors or relationships might emerge that have greater market share, a larger client base, more widely adopted proprietary technologies, greater marketing expertise, greater financial resources, and larger sales forces than we have, which could put us at a competitive disadvantage. In light of these advantages, current or potential clients might accept competitive offerings in lieu of purchasing our offerings. We expect intense competition to continue for these reasons, and such competition could negatively impact our sales, profitability or market share.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Our clients could have insufficient funds to cover payments we have made on their behalf or credit that we have extended to them in connection with the services that we have provided, resulting in financial loss to us.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payroll processing service involves moving significant funds from our clients’ account to employees and taxing authorities. We debit our clients’ accounts prior to disbursements; however, due to ACH banking regulations, funds previously credited to our accounts could be reversed after our payment of amounts due to employees and taxing authorities. Therefore, the risk exists that a client’s funds will be insufficient to cover the amount paid on its behalf. Should such clients default on their obligations, we might be required to advance substantial funds to cover such obligations. Additionally, we may be the target of deliberate fraud with fraudsters attempting to exploit the payroll payment process by posing as legitimate businesses and deliberately underfunding their payroll obligations. If required to advance substantial amounts of funds to cover payment obligations of our clients, we may need to seek additional sources of short-term liquidity, which may not be available on reasonable terms, which could have a material, adverse effect on our business, financial condition and results of operations.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grant credit to customers in the ordinary course of business, exposing us to the credit risk of our customers. In the course of our sales to customers, we may encounter difficulty collecting accounts receivable, which could adversely impact our operating results and financial condition. We maintain reserves for potential credit losses. However, these reserves are based on our judgment and a variety of factors and assumptions.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perform credit evaluations of our customers’ financial condition and follow the terms of our AML BSA program to verify clients and their beneficial owners. However, our evaluation of the creditworthiness of customers may not be accurate if they do not provide us with timely and accurate financial information or if their situations change after we evaluate their credit. While we attempt to monitor these situations carefully, adjust our allowances for doubtful accounts as appropriate and take measures to collect accounts receivable balances, we have written down accounts receivable and written off doubtful accounts in prior periods and may be unable to avoid additional write-downs or write-offs of doubtful accounts in the future. Such write-downs or write-offs could negatively affect our operating results for the period in which they occur, and could harm our financial condition.</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If the banks that currently provide ACH and wire transfers fail to properly transmit ACH, exit the payroll industry, or terminate their relationship with us or limit our ability to process funds or we are not able to increase our ACH capacity with our existing and new banking partners, our ability to process funds on behalf of our clients and our financial results and liquidity could be adversely affected.</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currently have agreements with banks and third party ACH processors to execute ACH and wire transfers to support our client payroll, benefit and tax services. If one or more of the banks fails to process ACH transfers on a timely basis, or at all, then our relationship with our clients could be harmed and we could be subject to claims by a client with respect to the failed transfers. In addition, these banks have no obligation to renew their agreements with us on commercially reasonable terms, if at all. If these banks terminate their relationships with us or restrict the dollar amounts of funds that they will process on behalf of our clients, their doing so may impede our ability to process funds and could have an adverse impact on our financial results and liquidity.</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Our balance sheet includes significant amounts of goodwill and intangible assets. The impairment of a significant portion of these assets would adversely affect our business, operating results and financial condition.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As a result of our acquisitions, a significant portion of our total assets consist of intangible assets, including goodwill. Goodwill and identifiable intangible assets together accounted for approximately 38% of the total assets on our balance sheet as of December 31, 2025. We may not realize the full fair value of our intangible assets and goodwill. We expect to engage in additional acquisitions, which may result in our recognition of additional identifiable intangible assets and goodwill. We evaluate on a regular basis whether all or a portion of our goodwill and identifiable intangible assets may be impaired. Under current accounting rules, any determination that impairment has occurred would require us to write off the impaired portion of goodwill and such intangible assets, resulting in a change to our earnings. Any future impairment of a significant portion of goodwill or intangible assets could have a material adverse effect on our business, operating results and financial condition.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If we fail to adequately protect our proprietary rights, our competitive advantage and brand could be impaired and we may lose valuable assets, generate reduced revenue and incur costly litigation to protect our rights.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success is dependent, in part, upon protecting our proprietary technology. We rely on a combination of trademarks, service marks, trade secret laws and contractual restrictions to establish and protect our proprietary rights in our products and services. However, the steps we take to protect our intellectual property may be inadequate. We will not be able to protect our intellectual property if we are unable to enforce our rights or if we do not detect unauthorized use of our intellectual property. Despite our precautions, it may be possible for unauthorized third parties to copy our products and use information that we regard as proprietary to create products and services that compete with ours. Some license provisions protecting against unauthorized use, copying, transfer and disclosure of our licensed products may be unenforceable under the laws of certain jurisdictions and foreign countries. While our general practice is to enter into confidentiality and invention assignment agreements with our employees and consultants and confidentiality agreements with the parties with whom we have strategic relationships and business alliances, these agreements may not be effective in controlling access to and distribution of our products and proprietary information. Further, these agreements do not prevent our competitors from independently developing technologies that are substantially equivalent or superior to our products. Litigation brought to protect and enforce our intellectual property rights could be costly, time consuming and distracting to management and could result in the impairment or loss of portions of our intellectual property. If we fail to secure, protect and enforce our intellectual property rights, we may lose valuable assets, generate reduced revenue and incur costly litigation to protect our rights, which could adversely affect our business, operating results and financial condition.</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We may be sued by third parties for infringement of their proprietary rights.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There is considerable intellectual property development activity in our industry. Our success depends upon our not infringing upon the intellectual property rights of others. Third parties, including our competitors, may own or claim to own intellectual property relating to our products or services and may claim that we are infringing their intellectual property rights. We may be found to be infringing upon such rights, even if we are unaware of their intellectual property rights. Any claims or litigation could cause us to incur significant expenses and, if successfully asserted against us, could require that we pay substantial damages or ongoing royalty payments, obtain licenses, modify applications, prevent us from offering our services, or require that we comply with other unfavorable terms. We may also be obligated to indemnify our customers, vendors or partners in connection with any such claim or litigation. Even if we were to prevail in such a dispute, any litigation regarding our intellectual property could be costly and time-consuming and divert the attention of our management and key personnel form our business operations. Any such events could have a material adverse effect on our business, financial condition and results of operations.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Even if demand for HCM products and services increases generally, there is no guarantee that demand for SaaS products generally or our products in particular will increase to a corresponding degree, or at all.</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widespread adoption of our products depends not only on strong demand for HCM products and services generally, but also for products and services delivered via a SaaS business model in particular. A significant number of organizations do not use HCM products, and it is unclear whether such organizations will ever use these products and, if they do, whether they will choose to use a SaaS software service or our HCM products in particular. As a result, we cannot assure you that our SaaS HCM software products will achieve and sustain the high level of market acceptance that is critical for the success of our business.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We may be subject to claims, lawsuits, governmental investigations and other proceedings that could adversely affect our business, financial condition and results of operations.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are sometimes the subject of claims, lawsuits, governmental investigations and other legal and regulatory proceedings in the ordinary course of business, including those involving, among others, breach of contract, tortious conduct and employment law matters. The results of any such claims, lawsuits, or other legal or regulatory proceedings cannot be predicted with certainty. Any claims against us, whether meritorious or not, could be time-consuming, result in costly litigation, be harmful to our reputation, impact licenses that are necessary or required to operate our business, require significant management attention and divert significant resources. It is possible that a resolution of one or more such proceedings could result in substantial damages, settlement costs, fines and penalties that could adversely affect our business, financial condition and results of operations.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Advancements and adoption of AI, either in our industry or those of our clients, could reduce demand for our solutions, which could have a material adverse effect on our business, operating results, and financial results.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sz w:val="20"/>
        </w:rPr>
      </w:pPr>
      <w:r>
        <w:rPr>
          <w:rFonts w:ascii="Times New Roman" w:eastAsia="Times New Roman" w:hAnsi="Times New Roman" w:cs="Times New Roman"/>
          <w:b w:val="0"/>
          <w:i w:val="0"/>
          <w:sz w:val="20"/>
        </w:rPr>
        <w:t>Our recurring revenues depend in part on the number of employees our customers manage using our solutions. Many emerging AI and automation technologies have the potential to reduce workforce sizes across a wide range of industries. If our customers reduce headcount as a result of adopting AI-based automation, the volume of employees supported by our solutions may decrease. Such reductions would negatively impact our recurring revenues, particularly for our solutions that are priced based on employee or transaction count, active users, or payroll volume.</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 addition, advancements in AI may materially impact the HCM industry and offer an alternative to our solutions. AI-driven tools that are capable of performing or automating core functions of our HCM suite may reduce the need for traditional HCM software solutions such as ours. If customers adopt AI-native platforms or develop their own internal AI capabilities that replicate or replace the functionality of our products, demand for our solutions could decline. If such a decline occurs, our business, financial condition, and results of operations could be adversely affected.</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Issues in the use of AI in our HCM products and services may result in reputational harm or liability to us, and our business, operating results, and financial results may be adversely affected.</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We are actively integrating AI technologies across our HCM platform and internal operations to enhance automation, analytics, customer experience, and operational efficiency. As we expand the use of AI-enabled capabilities, we are exposed to risks inherent in the development and deployment of emerging technologies.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AI systems may generate inaccurate, biased, incomplete, or unintended outputs due to limitations in algorithms, data quality, model design, or oversight. If AI-enabled features fail to perform as intended or are perceived as unreliable, we could experience reputational harm, customer dissatisfaction, competitive disadvantage, or legal exposure.</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Certain AI capabilities rely on third-party service providers, cloud infrastructure, or external models. Disruptions, security incidents, pricing changes, contractual restrictions, or termination of such services could impair the availability or performance of AI-enhanced features and increase our costs.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regulatory framework governing AI, data privacy, and automated decision-making is evolving in the United States and internationally. New or expanded legal requirements may require product modifications, increased compliance expenditures, or limitations on certain AI-driven functionality.</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AI-enabled features process sensitive customer and employee data. Any failure to maintain appropriate safeguards, governance controls, or oversight could result in regulatory scrutiny, litigation, or reputational harm.</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have implemented governance frameworks, human oversight, security controls, and monitoring processes designed to manage risks associated with AI-enabled capabilities. However, these measures may not be sufficient to prevent errors, misuse, security incidents, or regulatory non-compliance. If our risk management efforts are ineffective, our business, financial condition, and results of operations could be adversely affected.</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Changes in financial accounting standards or practices may cause adverse, unexpected financial reporting fluctuations and affect our reported operating results.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 change in accounting standards or practices can have a significant effect on our reported results and may even affect our reporting of transactions completed before the change is effective. New accounting pronouncements and varying interpretations of accounting pronouncements have occurred and may occur in the future. Changes to existing rules or the questioning of current practices may adversely affect our reported financial results or the way we conduct our business.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The use of open-source software in our applications may expose us to risks and harm our intellectual property rights.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use of open-source software in our products may expose us to additional risks and harm our intellectual property rights. There have been claims in the past challenging the ownership of open-source software against companies that incorporate such software into their products or applications. As a result, we could be subject to intellectual property related claims around ownership rights to what we believe to be open-source software. In addition, if we were to combine our applications with open-source software in a certain manner, we could, under certain of the open-source licenses, be required to release the source code of our applications. If we inappropriately use open-source software, we may be required to redesign our applications, discontinue the sale of our applications or take other remedial actions, which could adversely impact our business, operating results or financial condition.</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We may be adversely affected by failure of third parties in providing their services.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rely on multiple third-party service providers to provide services to our clients as part of our service offerings. Service providers include for example our banking and ACH transaction partners, mail services, outsourced consumer health care administration service providers, and Amazon Web Services hosting services. Failure of these providers to deliver their services in a compliant, timely manner could result in material disruption to our business, result in reputational damage, expose us to greater liability from our clients than we can recover from the third parties, any of which may adversely affect our results of operations.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sz w:val="20"/>
        </w:rPr>
        <w:t>Our ability to use our net operating loss carryforwards and certain other tax attributes may be limited.</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Under Sections 382 and 383 of the Internal Revenue Code of 1986, as amended, or the Code, if a corporation undergoes an “ownership change,” the corporation’s ability to use its pre-change net operating loss carryforwards and other pre-change tax attributes, such as research tax credits, to offset its post-change income and taxes may be limited. In general, an “ownership change” occurs if there is a cumulative change in our ownership by “5% shareholders” that exceeds 50 percentage points over a rolling three-year period. Similar rules apply under state tax laws. In the event that it is determined that we have in the past experienced ownership changes, or if we experience one or more ownership changes as a result of future transactions in our stock, then we may be limited in our ability to use our net operating loss carryforwards and other tax assets to reduce taxes owed on the net taxable income that we earn. Any such limitations on the ability to use our net operating loss carryforwards and other tax assets could adversely impact our business, operating results, and financial condition.</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Inability to maintain the third-party licensed software we use in our applications at the current costs could result in increased costs or reduced service levels, which could adversely affect our business.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use certain third-party software in our applications that we obtain from other companies and will continue to rely on such third party software. If we were required to find alternatives to such software for whatever reason, it may be expensive to replace, and could require significant investment of time and resources to find alternatives and integrate with our software. Additionally, error or issues in that software could adversely affect our own software and errors or defects may not be readily apparent to us, resulting in a failure of our applications.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Evolving regulation of the Internet, changes in the infrastructure underlying the Internet or interruptions in Internet access may adversely affect our business, operating results and financial condition by increasing our expenditures and causing client dissatisfaction.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services depend on the ability of our registered users to access the Internet. Currently, this access is provided by companies that have significant market power in the broadband and Internet access marketplace, including incumbent telephone companies, cable companies, mobile communications companies and government-owned service providers. Laws or regulations that adversely affect the growth, popularity or use of the Internet, including changes to laws or regulations impacting Internet neutrality, could decrease the demand for our products, increase our operating costs, require us to alter the manner in which we conduct our business and/or otherwise adversely affect our business. For example, in 2017 the Federal Communications Commission (the “FCC”) adopted an order repealing rules that prohibit Internet service providers (“ISPs”) from blocking or throttling Internet traffic, and from engaging in practices that prioritize particular Internet content in exchange for payment (also known as “paid prioritization”). In October 2023, the FCC proposed to reclassify ISPs as a Title II telecommunications service under Title II of the Communications Act and reinstate net neutrality obligations on ISPs. The impact of these rules, if adopted, remains uncertain and further judicial review is likely. A number of states, including California, have also taken executive action or passed legislation seeking to reestablish net neutrality, and there are efforts within Congress to pass federal legislation to codify uniform net neutrality requirements. Changes in regulatory requirements or uncertainty associated with the regulatory environment could delay or cause us to experience discriminatory or anti-competitive behavior, which could adversely affect the sale of our products and services.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 addition, the rapid and continual growth of traffic on the Internet has resulted at times in slow connection and download speeds of Internet users. Our business may be harmed if the Internet infrastructure cannot handle our clients’ demands or if hosting capacity becomes insufficient. If our clients become frustrated with the speed at which they can utilize our products over the Internet, our clients may discontinue the use of our software and choose not to renew their contracts with us. Further, the performance of the Internet has also been adversely affected by viruses, worms, hacking, phishing attacks, denial of service attacks and other similar malicious programs, as well as other forms of damage to portions of its infrastructure, which have resulted in a variety of Internet outages, interruptions and other delays. These service interruptions could diminish the overall attractiveness of our products to existing and potential users and could cause demand for our products to suffer.</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A portion of our accounts receivable is related to tax processing services that enabled businesses to file for Employee Retention Tax Credits under the CARES Act.</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Since the introduction of and subsequent expiration of the Employee Retention Tax Credits, we have a significant amount of accounts receivable from prior processing revenues for the support we provided our customers as a tax processor in filing for Employee Retention Tax Credits. We entered into deferred payment arrangements with some customers and referral partners whereby collections from the customer are expected to be received upon the customer’s future receipt of their tax credit. Given the deferred nature of these receipts, there is risk pertaining to our ability to collect these amounts in the future. In certain situations, the IRS could have the ability to challenge the validity of a business’ filing or could challenge our calculations or find other deficiencies in our filings that could expose us to uncertain penalties or damages.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sz w:val="20"/>
        </w:rPr>
        <w:t>If we lose key personnel, including key management personnel, or are unable to attract and retain additional personnel as needed in the future, it could disrupt the operation of our business, delay our product development, harm our growth efforts and have a material adverse effect on our business.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future performance depends largely on our ability to continually and effectively attract, train, retain, motivate and manage highly qualified and experienced technical, sales, marketing, finance, managerial and executive personnel. Our future development and growth depend on the efforts of key management personnel and technical employees. We cannot guarantee that we will continue to attract and retain personnel with the requisite capabilities and experience. The loss of one or more of our key management or technical personnel could have a material and adverse effect on our business, operating results and financial condition.</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Adverse tax laws or regulations could be enacted, or existing laws could be applied to us or our clients, which could increase the costs of our services and adversely impact our business.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application of federal, state, and local tax laws to services provided electronically often involve complex issues and significant judgment. New laws or changes to existing income, sales, use or other tax laws, statutes, rules, regulations or ordinances could be enacted at any time, possibly with retroactive effect, and could be applied solely or disproportionately to services provided over the Internet. These enactments could adversely affect our business, results of operations and financial condition due to the inherent cost increase. Moreover, each state has different rules and regulations governing sales and use taxes, and these rules and regulations are subject to varying interpretations that change over time. We review these rules and regulations periodically and, when we believe we are subject to sales and use taxes in a particular state, we may voluntarily engage state tax authorities to determine how to comply with that state’s rules and regulations. We cannot, however, assure you that we will not be subject to sales and use taxes or related penalties for past sales in states where we currently believe no such taxes are required. If one or more taxing authorities determines that taxes should have, but have not, been paid with respect to our services, we might be liable for past taxes and the associated interest and penalty charges, in addition to taxes going forward, which may adversely affect our business, sales activity, results of operations and financial condition.</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Political, economic and social factors may materially adversely affect our business and financial results.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Trade, monetary and fiscal policies, and political and economic conditions may substantially change, and credit markets may experience periods of constriction and volatility. A slowdown in the economy or other negative changes, including in employment levels, the level of interest rates or the level of inflation, may have a negative impact on our businesses. In addition, as our operating costs increase due to inflationary pressure or otherwise, we may not be able to offset these increases by corresponding price increases for our products and solutions. Clients may react to worsening conditions by reducing their spending on HCM services or renegotiating their contracts with us, which may adversely affect our business and financial results.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val="0"/>
          <w:sz w:val="20"/>
        </w:rPr>
        <w:t>RISKS RELATED TO OUR SECURITIES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Sales, or the potential for sales, of a substantial number of shares of our common stock in the public market, including sales done by us in connection with financing activities or by our existing stockholders, could cause our stock price to fall.</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sale of substantial amounts of shares of our common stock in the public market, or the perception that such sales could occur, could harm the prevailing market price of shares of our common stock. These sales, or the possibility that these sales may occur, also might make it more difficult for us to raise capital through the sale of equity securities in the future at a time and at a price that we deem appropriate.</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Our common stock has traded in low volumes. We cannot predict whether an active trading market for our common stock will ever develop.</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Historically, our common stock has experienced a lack of trading liquidity. In the absence of an active trading market:</w:t>
      </w: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an investor may have difficulty buying and selling our common stock at all or at the price one considers reasonable; and</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market visibility for shares of our common stock may be limited, which may have a depressive effect on the market price for shares of our common stock and on our ability to raise capital or make acquisitions by issuing our common stock.</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Our stock price has been, and likely will continue to be, volatile.</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market price of our common stock has in the past been and is likely to continue in the future to be, volatile. During the fiscal year ended December 31, 2025, the Nasdaq closing price of one share of our common stock fluctuated from a low of $7.69 to a high of $12.62. During the fiscal year ended December 31, 2024, the Nasdaq closing price of one share of our common stock fluctuated from a low of $6.92 to a high of $10.41. The market price of our common stock may be influenced by many factors, some of which are beyond our control, including:</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announcements regarding the results of expansion or development efforts by us or our competitors;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announcements regarding the acquisition of businesses or companies by us or our competitors;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technological innovations or new products and services developed by us or our competitors;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advancements and market perception of AI and its capabilities within our and other industries;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changes in domestic or foreign laws and regulations affecting our industry;</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issuance of new or changed securities analysts’ reports and/or recommendations applicable to us or our competitors;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changes in financial or operational estimates or projections;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additions or departure of our key personnel;</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actual or anticipated fluctuations in our quarterly financial and operating results and degree of trading liquidity in our common stock; and</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political or economic uncertainties, including rising interest rates or inflation, ongoing international conflicts and other developments that affect the equity trading markets.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 addition, stock markets generally have experienced significant price and volume volatility. This volatility has had a substantial effect on the market prices of securities of many public companies for reasons frequently unrelated or disproportionate to the operating performance of the specific companies.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We do not intend to pay dividends for the foreseeable future, and you must rely on increases in the market price of our common stock for returns on equity investment.</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For the foreseeable future, we intend to retain any earnings to finance the development and expansion of our business, and we do not anticipate paying any cash dividends on our common stock. Accordingly, investors must be prepared to rely on sales of their common stock after price appreciation to earn an investment return, which may never occur. Investors seeking cash dividends should not purchase our common stock. Any determination to pay dividends in the future will be made at the discretion of our board of directors and will depend on our results of operations, financial condition, capital requirements, contractual restrictions, restrictions imposed by applicable law and other factors our board deems relevant.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Our stockholder rights plan, or “poison pill,” includes terms and conditions which could discourage a takeover or other transaction that stockholders may consider favorable.</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On October 28, 2009, stockholders of record at the close of business on that date received a dividend of one right (a “Right”) for each outstanding share of common stock. Each Right entitles the registered holder to purchase one one-thousandth of a share of Series A junior participating preferred stock of the Company (the “Preferred Stock”), at a price of $11.63 per one thousandth of a share of Preferred Stock, subject to adjustment (the “Exercise Price”). The Rights are not exercisable until the Distribution Date referred to below. The description and terms of the Rights are set forth in the Fourth Amended and Restated Rights Agreement between the Company and American Stock Transfer &amp; Trust Company LLC, dated as of October 28, 2025, which extended the expiration date of the Rights to October 28, 2028.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Fourth Amended and Restated Rights Agreement imposes a significant penalty upon any person or group that acquires 4.9% or more (but less than 50%) of our then-outstanding common stock without the prior approval of the board of directors. Stockholders who own 4.9% or more of our then-outstanding common stock as of the close of business on the Record Date will not trigger the Fourth Amended and Restated Rights Agreement so long as they do not increase their ownership of the common stock after the Record Date by more than one-half of 1% of the then-outstanding common stock. A person or group that acquires shares of our common stock in excess of the above-mentioned applicable threshold, subject to certain limited exceptions, is called an “Acquiring Person.” Any rights held by an Acquiring Person are void and may not be exercised. The Rights will not be exercisable until 10 days after a public announcement by us that a person or group has become an Acquiring Person. On the date (if any) that the Rights become exercisable (the “Distribution Date”), each Right would allow its holder to purchase one one-thousandth of a share of Preferred Stock for a purchase price of $11.63. In addition, if a person or group becomes an Acquiring Person after the Distribution Date or already is an Acquiring Person and acquires more shares after the Distribution Date, all holders of Rights, except the Acquiring Person, may exercise their rights to purchase a number of shares of the common stock (in lieu of Preferred Stock) with a market value of twice the Exercise Price, upon payment of the purchase price.</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Rights will expire on the earliest of (a) October 28, 2028, (b) the exchange or redemption of the Rights, (c) consummation of a merger or consolidation or sale of assets resulting in expiration of the Rights, (d) the consummation of a reorganization transaction entered that the board of directors determines will help prevent an “Ownership Change,” as defined in Section 382 of the Code and protect our net operating losses, (e) the repeal of Section 382 of the Internal Revenue Code or any successor statute, or any other change, if the board of directors determines the Fourth Amended and Restated Rights Agreement is no longer necessary for the preservation of tax benefits, or (f) the beginning of a taxable year to which the board of directors determines that no tax benefits may be carried forward.</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may, at our option and with the approval of the board of directors, at any time prior to the close of business on the earlier of (i) the tenth day following the first date of public announcement by us or an Acquiring Person that an Acquiring Person has become such or such later date as may be determined by action of a majority of the members of the board of directors then in office and publicly announced by us or (ii) October 28, 2028, redeem all but not less than all the then outstanding Rights at a redemption price of $0.067 per Right (such redemption price being herein referred to as the “Redemption Price”). We may, at our option, pay the Redemption Price either in common stock (based on the current per share market price thereof) or cash; provided, that if the board of directors authorizes redemption of the Rights on or after the time a person becomes an Acquiring Person, then such authorization shall require the concurrence of a majority of the members of the board of directors then in office. In addition, after a person becomes an Acquiring Person the board of directors may exchange the Rights (other than Rights owned by the Acquiring Person or its affiliates), in whole or in part, at an exchange ratio of one common share per Right (subject to adjustment).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Rights have certain anti-takeover effects, including potentially discouraging a takeover that stockholders may consider favorable. The Rights will cause substantial dilution to a person or group that attempts to acquire us on terms not approved by the board of directors. On the other hand, the Rights should not interfere with any merger or other business combination approved by the board of directors since the Rights may be redeemed by us at the Redemption Price prior to the date ten days after the public announcement that a person or group has become the beneficial owner of 4.9% or more of the common stock, and any securities which a person or any of such person’s affiliates may be deemed to have the right to acquire pursuant to any merger or other acquisition agreement between us and such person may be excluded from the calculation of their beneficial ownership if such agreement has been approved by the board of directors prior to them becoming an Acquiring Person.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Provisions in our charter documents, our stockholder rights plan, and under Delaware law could discourage a takeover that stockholders may consider favorable and may lead to entrenchment of our management and board of directors.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restated certificate of incorporation, as amended, and third amended and restated bylaws, as amended, contain provisions that could have the effect of delaying or preventing changes in control or changes in our management or our board of directors. These provisions include::</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no cumulative voting in the election of directors, which limits the ability of minority stockholders to elect director candidates;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 addition to our current stockholder rights plan, the ability of our board of directors to further issue shares of preferred stock and to determine the price and other terms of those shares, including preferences and voting rights, without stockholder approval, which could be used to significantly dilute the ownership of a hostile acquirer;</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requirement that a special meeting of stockholders may be called only by the Chairman of the board of directors, the Chief Executive Officer or the Secretary at the request of the board of directors or upon the written request, stating the purpose of the meeting, of stockholders who together own of record 10% of the outstanding shares of each class of stock entitled to vote at such meeting, which may delay the ability of our stockholders to force consideration of a proposal or to take action, including the removal of directors; and</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advance notice procedures that stockholders must comply with in order to nominate candidates to our board of directors or to propose matters to be acted upon at a stockholders’ meeting, which may discourage or deter a potential acquirer from conducting a solicitation of proxies to elect the acquirer’s own slate of directors or otherwise attempting to obtain control of us.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are also subject to certain anti-takeover provisions under Delaware law. Under Delaware law, a corporation may not, in general, engage in a business combination with any holder of 15% or more of its capital stock unless the holder has held the stock for three years or, among other things, the board of directors has approved the transaction. We have not opted out of this provision of Delaware law.</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sz w:val="20"/>
        </w:rPr>
        <w:t>Our business could be negatively affected as a result of actions of activist stockholders, and such activism could impact the trading value of our securities.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Stockholders may, from time to time, engage in proxy solicitations or advance stockholder proposals, or otherwise attempt to effect changes and assert influence on our board of directors and management. Activist campaigns that contest or conflict with our strategic direction or seek changes in the composition of our board of directors could have an adverse effect on our operating results and financial condition. A proxy contest would require us to incur significant legal and advisory fees, proxy solicitation expenses and administrative and associated costs and require significant time and attention by our board of directors and management, diverting their attention from the pursuit of our business strategy. Any perceived uncertainties as to our future direction and control, our ability to execute on our strategy, or changes to the composition of our board of directors or senior management team arising from a proxy contest could lead to the perception of a change in the direction of our business or instability which may result in the loss of potential business opportunities, make it more difficult to pursue our strategic initiatives, or limit our ability to attract and retain qualified personnel and business partners, any of which could adversely affect our business and operating results. If individuals are ultimately elected to our board of directors with a specific agenda, it may adversely affect our ability to effectively implement our business strategy and create additional value for our stockholders. We may choose to initiate, or may become subject to, litigation as a result of the proxy contest or matters arising from the proxy contest, which would serve as a further distraction to our board of directors and management and would require us to incur significant additional costs. In addition, actions such as those described above could cause significant fluctuations in our stock price based upon temporary or speculative market perceptions or other factors that do not necessarily reflect the underlying fundamentals and prospects of our business.</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6" w:name="Section7"/>
      <w:bookmarkEnd w:id="6"/>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1B.</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UNRESOLVED STAFF COMMENTS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i w:val="0"/>
          <w:sz w:val="20"/>
        </w:rPr>
      </w:pPr>
      <w:r>
        <w:rPr>
          <w:rFonts w:ascii="Times New Roman" w:eastAsia="Times New Roman" w:hAnsi="Times New Roman" w:cs="Times New Roman"/>
          <w:b w:val="0"/>
          <w:i w:val="0"/>
          <w:sz w:val="20"/>
        </w:rPr>
        <w:t>None.</w:t>
      </w:r>
    </w:p>
    <w:p>
      <w:pPr>
        <w:keepNext w:val="0"/>
        <w:keepLines/>
        <w:pageBreakBefore w:val="0"/>
        <w:widowControl w:val="0"/>
        <w:numPr>
          <w:ilvl w:val="0"/>
          <w:numId w:val="0"/>
        </w:numPr>
        <w:spacing w:before="0" w:after="0" w:line="288" w:lineRule="auto"/>
        <w:ind w:left="0" w:right="0" w:firstLine="720"/>
        <w:jc w:val="left"/>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7" w:name="Section8"/>
      <w:bookmarkEnd w:id="7"/>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ITEM 1C.</w:t>
      </w:r>
      <w:r>
        <w:rPr>
          <w:rFonts w:ascii="Times New Roman" w:eastAsia="Times New Roman" w:hAnsi="Times New Roman" w:cs="Times New Roman"/>
          <w:b/>
          <w:i w:val="0"/>
          <w:color w:val="000000"/>
          <w:sz w:val="20"/>
          <w:u w:val="none"/>
        </w:rPr>
        <w:tab/>
      </w:r>
      <w:r>
        <w:rPr>
          <w:rFonts w:ascii="Times New Roman" w:eastAsia="Times New Roman" w:hAnsi="Times New Roman" w:cs="Times New Roman"/>
          <w:b/>
          <w:i w:val="0"/>
          <w:color w:val="000000"/>
          <w:sz w:val="20"/>
          <w:u w:val="none"/>
        </w:rPr>
        <w:t>CYBERSECURITY</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Risk Management and Strategy</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have implemented a comprehensive cyber risk management program that adheres to industry standards, specifically the National Institute of Standards and Technology’s cybersecurity framework and risk management standards. </w:t>
      </w:r>
      <w:r>
        <w:rPr>
          <w:rFonts w:ascii="Times New Roman" w:eastAsia="Times New Roman" w:hAnsi="Times New Roman" w:cs="Times New Roman"/>
          <w:b w:val="0"/>
          <w:i w:val="0"/>
          <w:color w:val="000000"/>
          <w:sz w:val="20"/>
          <w:u w:val="none"/>
        </w:rPr>
        <w:t>This program is maintained by a dedicated security operations team at the Company (the “Security Operations Team”). This process includes annually assessing and categorizing existing and emerging threats to Asure’s business operations and its information systems. Identified risks are assessed for severity and probability of impact and then risk treatments are identified and implemented. Additionally, Asure has implemented a vendor risk management program to continually assess and monitor risks posed by vendors and partners of the Company.</w:t>
      </w:r>
    </w:p>
    <w:p>
      <w:pPr>
        <w:keepNext w:val="0"/>
        <w:keepLines/>
        <w:pageBreakBefore w:val="0"/>
        <w:widowControl w:val="0"/>
        <w:numPr>
          <w:ilvl w:val="0"/>
          <w:numId w:val="0"/>
        </w:numPr>
        <w:spacing w:before="0" w:after="0" w:line="288" w:lineRule="auto"/>
        <w:ind w:left="-720" w:right="0" w:firstLine="108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maintain a comprehensive listing of controls that includes those risk treatments which are continuously monitored and assessed by the Security Operations Team. These controls are derived from the risk assessment process and include physical, logical and environmental security, vulnerability management, secure development and change management, fraud detection, and privacy. We also maintain a security awareness program (the “Security Awareness Program”), which is designed, implemented and maintained by our VP of Information Security. Our Security Awareness Program includes training that reinforces our information technology risk and security management policies, standards and practices, as well as the expectation that employees comply with these policies. The Security Awareness Program engages personnel through training on how to identify potential cybersecurity risks and protect our resources and information, as well as how to respond to unauthorized access to or use of Company information. The Security Awareness Program training is mandatory for all employees at least annually, and it is supplemented by Company-wide assessment initiatives, including periodic testing. Additionally, we provide specialized security training for certain employee roles, such as application developers.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conduct periodic tests to assess our processes and procedures and the threat landscape, which are designed with the goal of implementing and maintaining a robust cybersecurity program. Where appropriate, we take additional and ongoing steps intended to strengthen our cybersecurity capabilities and mitigate the risk of a breach or incident. </w:t>
      </w:r>
      <w:r>
        <w:rPr>
          <w:rFonts w:ascii="Times New Roman" w:eastAsia="Times New Roman" w:hAnsi="Times New Roman" w:cs="Times New Roman"/>
          <w:b w:val="0"/>
          <w:i w:val="0"/>
          <w:color w:val="000000"/>
          <w:sz w:val="20"/>
          <w:u w:val="none"/>
        </w:rPr>
        <w:t>Our security program and IT-related controls are regularly examined by internal auditors, external auditors and various regulators who regularly assess the design and effectiveness of our control framework.</w:t>
      </w:r>
      <w:r>
        <w:rPr>
          <w:rFonts w:ascii="Times New Roman" w:eastAsia="Times New Roman" w:hAnsi="Times New Roman" w:cs="Times New Roman"/>
          <w:b w:val="0"/>
          <w:i w:val="0"/>
          <w:color w:val="000000"/>
          <w:sz w:val="20"/>
          <w:u w:val="none"/>
        </w:rPr>
        <w:t xml:space="preserve"> As part of those assessments, Asure maintains both SOC1 Type 2 and SOC2 Type 2 certifications specifically evaluating the security, confidentiality, and availability of its systems and information. Additionally, state examiners audit our IT-related controls as part of our Money Transmitter Licensing requirements.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Although we have designed its cybersecurity program and governance procedures noted above to mitigate cybersecurity risks, we continue to face unknown cybersecurity risks, threats and attacks. </w:t>
      </w:r>
      <w:r>
        <w:rPr>
          <w:rFonts w:ascii="Times New Roman" w:eastAsia="Times New Roman" w:hAnsi="Times New Roman" w:cs="Times New Roman"/>
          <w:b w:val="0"/>
          <w:i w:val="0"/>
          <w:color w:val="000000"/>
          <w:sz w:val="20"/>
          <w:u w:val="none"/>
        </w:rPr>
        <w:t xml:space="preserve">We have had no material cybersecurity incidents, and these risks, threats and attacks have not had a material impact on our operations, business strategy or financial results; however, they may have a material impact in the future.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Please refer to the “Risk Factors” in Part I, Item 1A of this Form 10-K for more information on risks posed by cybersecurity threats to the Company.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Governance</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Our Security Operations Team, led by the </w:t>
      </w:r>
      <w:r>
        <w:rPr>
          <w:rFonts w:ascii="Times New Roman" w:eastAsia="Times New Roman" w:hAnsi="Times New Roman" w:cs="Times New Roman"/>
          <w:b w:val="0"/>
          <w:i w:val="0"/>
          <w:color w:val="000000"/>
          <w:sz w:val="20"/>
          <w:u w:val="none"/>
        </w:rPr>
        <w:t>VP of Information Security</w:t>
      </w:r>
      <w:r>
        <w:rPr>
          <w:rFonts w:ascii="Times New Roman" w:eastAsia="Times New Roman" w:hAnsi="Times New Roman" w:cs="Times New Roman"/>
          <w:b w:val="0"/>
          <w:i w:val="0"/>
          <w:color w:val="000000"/>
          <w:sz w:val="20"/>
          <w:u w:val="none"/>
        </w:rPr>
        <w:t>, is responsible for identifying, assessing, mitigating, and reporting on material cybersecurity risks to the executive management team.</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In addition, cybersecurity risks, emerging and existing threats and Asure’s current security posture are presented to the board of directors quarterly, as the board of directors is generally responsible for our risk management.</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Our VP of Information Security holds a high-level certification relating to information security, Certified Information Systems Security Professional (CISSP) from the International Information Security System Security Certification Consortium, and has 19 years of information security, risk management, application security, security operations, and incident management experience.</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rPr>
        <w:t xml:space="preserve">Our executive management receives regular monthly reports from the VP of Information Security. </w:t>
      </w:r>
    </w:p>
    <w:p>
      <w:pPr>
        <w:keepNext w:val="0"/>
        <w:keepLines/>
        <w:pageBreakBefore w:val="0"/>
        <w:widowControl w:val="0"/>
        <w:numPr>
          <w:ilvl w:val="0"/>
          <w:numId w:val="0"/>
        </w:numPr>
        <w:spacing w:before="0" w:after="0" w:line="288" w:lineRule="auto"/>
        <w:ind w:left="-720" w:right="0" w:firstLine="108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Our Security Operations Team has implemented a continuous monitoring program that provides real time feedback to security events that are triaged and remediated. Critical incidents are escalated in accordance with Asure’s Incident Response Policy. Critical incidents are reported to the </w:t>
      </w:r>
      <w:r>
        <w:rPr>
          <w:rFonts w:ascii="Times New Roman" w:eastAsia="Times New Roman" w:hAnsi="Times New Roman" w:cs="Times New Roman"/>
          <w:b w:val="0"/>
          <w:i w:val="0"/>
          <w:color w:val="000000"/>
          <w:sz w:val="20"/>
          <w:u w:val="none"/>
        </w:rPr>
        <w:t>board of directors</w:t>
      </w:r>
      <w:r>
        <w:rPr>
          <w:rFonts w:ascii="Times New Roman" w:eastAsia="Times New Roman" w:hAnsi="Times New Roman" w:cs="Times New Roman"/>
          <w:b w:val="0"/>
          <w:i w:val="0"/>
          <w:color w:val="000000"/>
          <w:sz w:val="20"/>
          <w:u w:val="none"/>
        </w:rPr>
        <w:t xml:space="preserve"> as required by Asure’s Incident Response Policy.</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8" w:name="Section9"/>
      <w:bookmarkEnd w:id="8"/>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2.</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PROPERTIES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highlight w:val="white"/>
          <w:u w:val="none"/>
        </w:rPr>
        <w:t xml:space="preserve">Our principal offices are located in Austin, Texas where we occupy approximately 9,500 square feet of office space. We also lease other office suites in </w:t>
      </w:r>
      <w:r>
        <w:rPr>
          <w:rFonts w:ascii="Times New Roman" w:eastAsia="Times New Roman" w:hAnsi="Times New Roman" w:cs="Times New Roman"/>
          <w:b w:val="0"/>
          <w:i w:val="0"/>
          <w:sz w:val="20"/>
        </w:rPr>
        <w:t>Alabama, California, Florida, Georgia, New Jersey, New York, North Carolina, Ohio, South Dakota, Tennessee, Texas, Virginia, and Vermont</w:t>
      </w:r>
      <w:r>
        <w:rPr>
          <w:rFonts w:ascii="Times New Roman" w:eastAsia="Times New Roman" w:hAnsi="Times New Roman" w:cs="Times New Roman"/>
          <w:b w:val="0"/>
          <w:i w:val="0"/>
          <w:color w:val="000000"/>
          <w:sz w:val="20"/>
          <w:highlight w:val="white"/>
          <w:u w:val="none"/>
        </w:rPr>
        <w:t xml:space="preserve">.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Management believes that the leased properties described above are adequate to meet Asure’s current operational requirements and can accommodate further physical expansion of office space as needed.</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9" w:name="Section10"/>
      <w:bookmarkEnd w:id="9"/>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3.</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LEGAL PROCEEDINGS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highlight w:val="yellow"/>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sz w:val="20"/>
        </w:rPr>
        <w:t>Although we have been, are, and in the future may be, the defendant or plaintiff in various actions arising in the normal course of business, as of December 31, 2025, we were not currently a party to any material legal proceedings.</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10" w:name="Section11"/>
      <w:bookmarkEnd w:id="10"/>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4.</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MINE SAFETY DISCLOSURES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i w:val="0"/>
          <w:sz w:val="20"/>
        </w:rPr>
      </w:pPr>
      <w:r>
        <w:rPr>
          <w:rFonts w:ascii="Times New Roman" w:eastAsia="Times New Roman" w:hAnsi="Times New Roman" w:cs="Times New Roman"/>
          <w:b w:val="0"/>
          <w:i w:val="0"/>
          <w:sz w:val="20"/>
        </w:rPr>
        <w:t>Not applicable.</w:t>
      </w:r>
    </w:p>
    <w:p>
      <w:pPr>
        <w:keepNext w:val="0"/>
        <w:keepLines/>
        <w:pageBreakBefore w:val="0"/>
        <w:widowControl w:val="0"/>
        <w:numPr>
          <w:ilvl w:val="0"/>
          <w:numId w:val="0"/>
        </w:numPr>
        <w:spacing w:before="0" w:after="0" w:line="288" w:lineRule="auto"/>
        <w:ind w:left="0" w:right="0" w:firstLine="720"/>
        <w:jc w:val="left"/>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855"/>
        <w:jc w:val="center"/>
        <w:outlineLvl w:val="0"/>
        <w:rPr>
          <w:rFonts w:ascii="Times New Roman" w:eastAsia="Times New Roman" w:hAnsi="Times New Roman" w:cs="Times New Roman"/>
          <w:b/>
          <w:i w:val="0"/>
          <w:sz w:val="20"/>
        </w:rPr>
      </w:pPr>
      <w:bookmarkStart w:id="11" w:name="Section12"/>
      <w:bookmarkEnd w:id="11"/>
      <w:r>
        <w:rPr>
          <w:rFonts w:ascii="Times New Roman" w:eastAsia="Times New Roman" w:hAnsi="Times New Roman" w:cs="Times New Roman"/>
          <w:b/>
          <w:i w:val="0"/>
          <w:sz w:val="20"/>
        </w:rPr>
        <w:t>PART II – OTHER INFORMATION</w:t>
      </w:r>
    </w:p>
    <w:p>
      <w:pPr>
        <w:keepNext w:val="0"/>
        <w:keepLines/>
        <w:pageBreakBefore w:val="0"/>
        <w:widowControl w:val="0"/>
        <w:numPr>
          <w:ilvl w:val="0"/>
          <w:numId w:val="0"/>
        </w:numPr>
        <w:spacing w:before="0" w:after="0" w:line="288" w:lineRule="auto"/>
        <w:ind w:left="0" w:right="0" w:firstLine="855"/>
        <w:jc w:val="center"/>
        <w:outlineLvl w:val="0"/>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12" w:name="Section13"/>
      <w:bookmarkEnd w:id="12"/>
    </w:p>
    <w:p>
      <w:pPr>
        <w:keepNext/>
        <w:keepLines/>
        <w:pageBreakBefore w:val="0"/>
        <w:widowControl w:val="0"/>
        <w:numPr>
          <w:ilvl w:val="0"/>
          <w:numId w:val="0"/>
        </w:numPr>
        <w:spacing w:before="0" w:after="0" w:line="288" w:lineRule="auto"/>
        <w:ind w:left="1440" w:right="0" w:hanging="1440"/>
        <w:jc w:val="both"/>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5.</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MARKET FOR REGISTRANT’S COMMON EQUITY, RELATED STOCKHOLDER MATTERS AND ISSUER PURCHASES OF EQUITY SECURITIES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MARKET INFORMATION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common stock trades on the Nasdaq Capital Market under the symbol “ASUR.”</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HOLDERS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As of February 25, 2026, we had approximately </w:t>
      </w:r>
      <w:r>
        <w:rPr>
          <w:rFonts w:ascii="Times New Roman" w:eastAsia="Times New Roman" w:hAnsi="Times New Roman" w:cs="Times New Roman"/>
          <w:b w:val="0"/>
          <w:i w:val="0"/>
          <w:color w:val="000000"/>
          <w:sz w:val="20"/>
          <w:u w:val="none"/>
        </w:rPr>
        <w:t>352</w:t>
      </w:r>
      <w:r>
        <w:rPr>
          <w:rFonts w:ascii="Times New Roman" w:eastAsia="Times New Roman" w:hAnsi="Times New Roman" w:cs="Times New Roman"/>
          <w:b w:val="0"/>
          <w:i w:val="0"/>
          <w:sz w:val="20"/>
        </w:rPr>
        <w:t xml:space="preserve"> stockholders of record of our common stock.</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UNREGISTERED SALE OF EQUITY SECURITIES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There were no unregistered sales of equity securities by us during the year ended December 31, 2025, that were not reported in our quarterly reports on Form 10-Q or our current reports on Form 8-K.</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On February 1, 2026, we issued 49 shares of our common stock to a reseller partner from whom we acquired certain assets. These shares were part of the purchase price consideration in connection with such purchase. The shares were valued at $9.49 per share, or an aggregate of $463. The issuance and sale of the shares of our common stock in connection with this settlement are exempt from the registration requirements of the Securities Act of 1933 pursuant to Section 4(a)(2) thereof and Rule 506(b) of Regulation D thereunder.</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i w:val="0"/>
          <w:color w:val="000000"/>
          <w:sz w:val="20"/>
          <w:highlight w:val="white"/>
          <w:u w:val="none"/>
        </w:rPr>
        <w:t>SECURITIES AUTHORIZED FOR ISSUANCE UNDER EQUITY COMPENSATION PLANS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following table provides information as of December 31, 2025, with respect to shares of our common stock that we may issue under our existing equity compensation plans (share amounts in thousands):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915"/>
        <w:gridCol w:w="75"/>
        <w:gridCol w:w="2040"/>
        <w:gridCol w:w="75"/>
        <w:gridCol w:w="2040"/>
        <w:gridCol w:w="75"/>
        <w:gridCol w:w="2040"/>
      </w:tblGrid>
      <w:tr>
        <w:tblPrEx>
          <w:tblW w:w="10260" w:type="dxa"/>
          <w:tblInd w:w="0" w:type="dxa"/>
          <w:tblLayout w:type="fixed"/>
        </w:tblPrEx>
        <w:trPr>
          <w:cantSplit/>
          <w:trHeight w:hRule="exact" w:val="315"/>
        </w:trPr>
        <w:tc>
          <w:tcPr>
            <w:tcW w:w="391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0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A</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0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B</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0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C</w:t>
            </w:r>
          </w:p>
        </w:tc>
      </w:tr>
      <w:tr>
        <w:tblPrEx>
          <w:tblW w:w="10260" w:type="dxa"/>
          <w:tblInd w:w="0" w:type="dxa"/>
          <w:tblLayout w:type="fixed"/>
        </w:tblPrEx>
        <w:trPr>
          <w:cantSplit/>
          <w:trHeight w:hRule="exact" w:val="1665"/>
        </w:trPr>
        <w:tc>
          <w:tcPr>
            <w:tcW w:w="391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0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Number of Securities to be Issued Upon Exercise of Outstanding Options, Warrants, and Rights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0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Weighted Average Exercise Price of Outstanding Options, Warrants, and Rights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04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Number of Securities Remaining Available for Future Issuance Under Equity Compensation Plans (Excluding Securities Reflected in Column A)</w:t>
            </w:r>
          </w:p>
        </w:tc>
      </w:tr>
      <w:tr>
        <w:tblPrEx>
          <w:tblW w:w="10260" w:type="dxa"/>
          <w:tblInd w:w="0" w:type="dxa"/>
          <w:tblLayout w:type="fixed"/>
        </w:tblPrEx>
        <w:trPr>
          <w:cantSplit/>
          <w:trHeight w:hRule="exact" w:val="465"/>
        </w:trPr>
        <w:tc>
          <w:tcPr>
            <w:tcW w:w="39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Equity Compensation Plan Approved by Stockholders</w:t>
            </w:r>
            <w:r>
              <w:rPr>
                <w:rFonts w:ascii="Times New Roman" w:eastAsia="Times New Roman" w:hAnsi="Times New Roman" w:cs="Times New Roman"/>
                <w:b w:val="0"/>
                <w:i w:val="0"/>
                <w:sz w:val="20"/>
                <w:vertAlign w:val="superscript"/>
              </w:rPr>
              <w:t>(1)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0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457"/>
                <w:tab w:val="left" w:pos="1972"/>
              </w:tabs>
              <w:spacing w:before="33" w:after="30" w:line="240" w:lineRule="auto"/>
              <w:jc w:val="right"/>
            </w:pPr>
            <w:r>
              <w:rPr>
                <w:rFonts w:ascii="Times New Roman" w:eastAsia="Times New Roman" w:hAnsi="Times New Roman" w:cs="Times New Roman"/>
                <w:b w:val="0"/>
                <w:i w:val="0"/>
                <w:color w:val="000000"/>
                <w:sz w:val="20"/>
                <w:u w:val="none"/>
              </w:rPr>
              <w:tab/>
              <w:t>2,197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0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557"/>
                <w:tab w:val="left" w:pos="1972"/>
              </w:tabs>
              <w:spacing w:before="33" w:after="30" w:line="240" w:lineRule="auto"/>
              <w:jc w:val="right"/>
            </w:pPr>
            <w:r>
              <w:rPr>
                <w:rFonts w:ascii="Times New Roman" w:eastAsia="Times New Roman" w:hAnsi="Times New Roman" w:cs="Times New Roman"/>
                <w:b w:val="0"/>
                <w:i w:val="0"/>
                <w:color w:val="000000"/>
                <w:sz w:val="20"/>
                <w:u w:val="none"/>
              </w:rPr>
              <w:t>$</w:t>
              <w:tab/>
              <w:t>8.84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20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457"/>
                <w:tab w:val="left" w:pos="1972"/>
              </w:tabs>
              <w:spacing w:before="33" w:after="30" w:line="240" w:lineRule="auto"/>
              <w:jc w:val="right"/>
            </w:pPr>
            <w:r>
              <w:rPr>
                <w:rFonts w:ascii="Times New Roman" w:eastAsia="Times New Roman" w:hAnsi="Times New Roman" w:cs="Times New Roman"/>
                <w:b w:val="0"/>
                <w:i w:val="0"/>
                <w:color w:val="000000"/>
                <w:sz w:val="20"/>
                <w:u w:val="none"/>
              </w:rPr>
              <w:tab/>
              <w:t>2,646</w:t>
              <w:tab/>
            </w:r>
          </w:p>
        </w:tc>
      </w:tr>
      <w:tr>
        <w:tblPrEx>
          <w:tblW w:w="10260" w:type="dxa"/>
          <w:tblInd w:w="0" w:type="dxa"/>
          <w:tblLayout w:type="fixed"/>
        </w:tblPrEx>
        <w:trPr>
          <w:cantSplit/>
          <w:trHeight w:hRule="exact" w:val="465"/>
        </w:trPr>
        <w:tc>
          <w:tcPr>
            <w:tcW w:w="39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Equity Compensation Plans Not Approved by Stockholders</w:t>
            </w:r>
            <w:r>
              <w:rPr>
                <w:rFonts w:ascii="Times New Roman" w:eastAsia="Times New Roman" w:hAnsi="Times New Roman" w:cs="Times New Roman"/>
                <w:b w:val="0"/>
                <w:i w:val="0"/>
                <w:sz w:val="20"/>
                <w:vertAlign w:val="superscript"/>
              </w:rPr>
              <w:t>(2)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0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707"/>
                <w:tab w:val="left" w:pos="1972"/>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0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707"/>
                <w:tab w:val="left" w:pos="1972"/>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20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707"/>
                <w:tab w:val="left" w:pos="1972"/>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Ind w:w="0" w:type="dxa"/>
          <w:tblLayout w:type="fixed"/>
        </w:tblPrEx>
        <w:trPr>
          <w:cantSplit/>
          <w:trHeight w:hRule="exact" w:val="315"/>
        </w:trPr>
        <w:tc>
          <w:tcPr>
            <w:tcW w:w="391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20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457"/>
                <w:tab w:val="left" w:pos="1972"/>
              </w:tabs>
              <w:spacing w:before="33" w:after="30" w:line="240" w:lineRule="auto"/>
              <w:jc w:val="right"/>
            </w:pPr>
            <w:r>
              <w:rPr>
                <w:rFonts w:ascii="Times New Roman" w:eastAsia="Times New Roman" w:hAnsi="Times New Roman" w:cs="Times New Roman"/>
                <w:b w:val="0"/>
                <w:i w:val="0"/>
                <w:color w:val="000000"/>
                <w:sz w:val="20"/>
                <w:u w:val="none"/>
              </w:rPr>
              <w:tab/>
              <w:t>2,197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20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557"/>
                <w:tab w:val="left" w:pos="1972"/>
              </w:tabs>
              <w:spacing w:before="33" w:after="30" w:line="240" w:lineRule="auto"/>
              <w:jc w:val="right"/>
            </w:pPr>
            <w:r>
              <w:rPr>
                <w:rFonts w:ascii="Times New Roman" w:eastAsia="Times New Roman" w:hAnsi="Times New Roman" w:cs="Times New Roman"/>
                <w:b w:val="0"/>
                <w:i w:val="0"/>
                <w:color w:val="000000"/>
                <w:sz w:val="20"/>
                <w:u w:val="none"/>
              </w:rPr>
              <w:t>$</w:t>
              <w:tab/>
              <w:t>8.84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20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457"/>
                <w:tab w:val="left" w:pos="1972"/>
              </w:tabs>
              <w:spacing w:before="33" w:after="30" w:line="240" w:lineRule="auto"/>
              <w:jc w:val="right"/>
            </w:pPr>
            <w:r>
              <w:rPr>
                <w:rFonts w:ascii="Times New Roman" w:eastAsia="Times New Roman" w:hAnsi="Times New Roman" w:cs="Times New Roman"/>
                <w:b w:val="0"/>
                <w:i w:val="0"/>
                <w:color w:val="000000"/>
                <w:sz w:val="20"/>
                <w:u w:val="none"/>
              </w:rPr>
              <w:tab/>
              <w:t>2,646</w:t>
              <w:tab/>
            </w:r>
          </w:p>
        </w:tc>
      </w:tr>
    </w:tbl>
    <w:p>
      <w:pPr>
        <w:keepNext w:val="0"/>
        <w:keepLines/>
        <w:pageBreakBefore w:val="0"/>
        <w:widowControl w:val="0"/>
        <w:numPr>
          <w:ilvl w:val="0"/>
          <w:numId w:val="16"/>
        </w:numPr>
        <w:spacing w:before="0" w:after="0" w:line="288" w:lineRule="auto"/>
        <w:ind w:left="720" w:right="0" w:hanging="360"/>
        <w:jc w:val="both"/>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8"/>
        </w:rPr>
        <w:t>Consists of stock options, restricted stock units, and performance stock units adjusted for performance as of December 31, 2025.</w:t>
      </w:r>
    </w:p>
    <w:p>
      <w:pPr>
        <w:keepNext w:val="0"/>
        <w:keepLines/>
        <w:pageBreakBefore w:val="0"/>
        <w:widowControl w:val="0"/>
        <w:numPr>
          <w:ilvl w:val="0"/>
          <w:numId w:val="16"/>
        </w:numPr>
        <w:spacing w:before="0" w:after="0" w:line="288" w:lineRule="auto"/>
        <w:ind w:left="720" w:right="0" w:hanging="360"/>
        <w:jc w:val="both"/>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8"/>
        </w:rPr>
        <w:t>Our stockholders have previously approved our existing equity compensation plan.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6"/>
        </w:rPr>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val="0"/>
          <w:i w:val="0"/>
          <w:sz w:val="20"/>
        </w:rPr>
      </w:pPr>
      <w:bookmarkStart w:id="13" w:name="Section14"/>
      <w:bookmarkEnd w:id="13"/>
      <w:r>
        <w:rPr>
          <w:rFonts w:ascii="Times New Roman" w:eastAsia="Times New Roman" w:hAnsi="Times New Roman" w:cs="Times New Roman"/>
          <w:b/>
          <w:i w:val="0"/>
          <w:sz w:val="20"/>
        </w:rPr>
        <w:t>ITEM 6.</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RESERVED</w:t>
      </w:r>
    </w:p>
    <w:p>
      <w:pPr>
        <w:keepNext w:val="0"/>
        <w:keepLines/>
        <w:pageBreakBefore w:val="0"/>
        <w:widowControl w:val="0"/>
        <w:numPr>
          <w:ilvl w:val="0"/>
          <w:numId w:val="0"/>
        </w:numPr>
        <w:spacing w:before="0" w:after="0" w:line="288" w:lineRule="auto"/>
        <w:ind w:left="0" w:right="0" w:firstLine="0"/>
        <w:jc w:val="left"/>
        <w:outlineLvl w:val="1"/>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1440" w:right="0" w:hanging="1440"/>
        <w:jc w:val="left"/>
        <w:outlineLvl w:val="1"/>
        <w:rPr>
          <w:rFonts w:ascii="Times New Roman" w:eastAsia="Times New Roman" w:hAnsi="Times New Roman" w:cs="Times New Roman"/>
          <w:b/>
          <w:i w:val="0"/>
          <w:sz w:val="20"/>
        </w:rPr>
      </w:pPr>
      <w:bookmarkStart w:id="14" w:name="Section15"/>
      <w:bookmarkEnd w:id="14"/>
      <w:r>
        <w:rPr>
          <w:rFonts w:ascii="Times New Roman" w:eastAsia="Times New Roman" w:hAnsi="Times New Roman" w:cs="Times New Roman"/>
          <w:b/>
          <w:i w:val="0"/>
          <w:sz w:val="20"/>
        </w:rPr>
        <w:t>ITEM 7.</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MANAGEMENT’S DISCUSSION AND ANALYSIS OF FINANCIAL CONDITION AND RESULTS OF OPERATIONS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Certain statements in this Report represent forward-looking statements. Forward-looking statements include but are not limited to statements regarding our strategy, future operations, financial condition, results of operations, projected costs, and plans and objectives of management. Actual results may differ materially from those contemplated by the forward-looking statements due to, among others, the risks and uncertainties described in this Report and in our other SEC filings.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have attempted to identify these forward-looking statements with the words “believe,” “may,” “will,” “estimate,” “projects,” “anticipate,” “intend,” “expect,” “should,” “plan,” and similar expressions. Examples of “forward-looking statements” include statements we make regarding our operating performance, future results of operations and financial position, revenue growth, earnings or other projections. We have based these forward-looking statements largely on our current expectations and projections about future events and trends that we believe may affect our financial condition, results of operations, business strategy, short-term and long-term business operations and objectives, and financial needs. The achievement or success of the matters covered by such forward-looking statements involves risks, uncertainties and assumptions, many of which are outside of our control. If any such risks or uncertainties materialize or if any of the assumptions prove incorrect, our results could differ materially from the results expressed or implied by the forward-looking statements we make. Additionally, we are under no obligation to update any of the forward-looking statements after the date of this Annual Report on Form 10-K or to conform such statements to actual results.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OVERVIEW</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are a provider of cloud-based Human Capital Management (“HCM”) software solutions delivered as Software-as-a-Service (“SaaS”) to businesses of all sizes. We offer human resources (“HR”) tools necessary to build a thriving workforce, provide the resources to stay compliant with dynamic federal, state, and local tax jurisdictions and their respective labor laws, freeing cash flows so these businesses can spend their financial capital on growing their businesses rather than administrative overhead that can impede growth. Our solutions also provide new ways for employers to connect with their employees and strengthen relationships with their talent. At the core of our offering is the Asure HCM platform—a SaaS-based system that includes Payroll &amp; Tax filing, HR management tools, Time &amp; Attendance software,  Recruiting, and Benefits Administration. This platform serves as the foundation for delivering both our core software and a range of complementary, technology-enabled services. These include AsureMarketplace™, which automates data exchange between our HCM system and third-party providers to increase efficiency, accuracy, and breadth of services. Our HR Compliance services combine expert guidance with scalable digital delivery. AsurePay™, our payroll card, which we provide in association with our partners, offers employees fast, secure access to earned wages. Additionally, through our licensed brokerage, we offer Insurance Services that help employers manage benefits and reduce administrative costs. We deliver our solutions directly and through a national network of Reseller Partners.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strive to be the most trusted HCM resource. We sell our solutions through both direct and partner channels. We supplement our direct sales efforts with partner programs that afford us access to opportunities in various geographic and industry niches. Asure has two types of partners: Reseller Partners that white label our products while providing value-added services to their clients (our indirect clients) and Referral Partners that provide us with client leads but do not resell our solutions.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As of December 31, 2025, Asure had more than</w:t>
      </w:r>
      <w:r>
        <w:rPr>
          <w:rFonts w:ascii="Times New Roman" w:eastAsia="Times New Roman" w:hAnsi="Times New Roman" w:cs="Times New Roman"/>
          <w:b w:val="0"/>
          <w:i w:val="0"/>
          <w:color w:val="000000"/>
          <w:sz w:val="20"/>
          <w:highlight w:val="white"/>
          <w:u w:val="none"/>
        </w:rPr>
        <w:t xml:space="preserve"> 100,000 clients, with approximately 35% being direct and the remaining clients being indirect through contracts with Reseller Partners.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sz w:val="20"/>
        </w:rPr>
        <w:t>We plan to continue to enhance our products and technologies by leveraging the latest technology stack, RPA, AI, and development partnerships. We expect that our expanded investment in product, engineering, SaaS hosting, mobile and hardware technologies will lay the groundwork for broader market opportunities and represent a key aspect of our competitive differentiation. We also plan to expand our technological resources through organic improvements and acquired intellectual property. We expect to continue to expand the breadth of integration between our solutions, allowing direct clients and our Reseller Partners the ability to easily add and implement components across our entire solution set. Our initiatives include providing our customers with more accurate and efficient automation powered by an informed knowledge base. Consistent with that effort, our engineering team utilizes an AI development Copilot to increase their productivity and efficiency. Our operations team utilizes a digital assistant to allow for a more efficient and accurate way to automate repetitive tasks, which we believe will free up our time for more strategic work and reducing the risk of errors. We are committed to providing the best-in-class solutions.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development efforts for future releases and enhancements are driven by feedback received from our existing and potential customers and by gauging market trends. We believe we have the appropriate development team to design and enhance our solution suite and integrated platform. We have also made significant investments outside of core R&amp;D into compliance and certifications, including SOC I Type 2 and SOC II Type 2 certifications, BIPA, CCPA, and other initiatives.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Asure has several forms of revenue that result from our business model:</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Software-as-a-service revenue is generated when clients utilize our product suite for their recurring human resource needs—primarily payroll, tax, HR compliance, time and attendance, recruiting, insurance and benefits administration and AsureMarketplace™. This also contains revenue generated from quarterly and annual reporting requirements to local, state and federal regulatory agencies. Examples include Form W-2 and reporting mandated by the ACA.</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Hardware-as-a-service revenue is generated when clients choose not to purchase our hardware, but rather rent the devices. This hardware includes a variety of clocks used to track time and attendance. Hardware revenue is generated when our clients buy our devices outright.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Maintenance and support revenue is generated from servicing our hardware on our clients’ behalf and providing training on how to operate both our hardware and software products.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Professional services revenue is generated from our clients’ needs that would normally be fulfilled by an internal payroll system or human resources department.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Our tax management solutions revenue is derived from providing clients with innovative payroll tax processing software and service solutions.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Interest from client funds is generated when we gain possession of funds intended to be disbursed based on the clients’ needs. We invest the monies in short and long-term securities that may be held to maturity before disbursement.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sz w:val="20"/>
        </w:rPr>
        <w:t>2025</w:t>
      </w:r>
      <w:r>
        <w:rPr>
          <w:rFonts w:ascii="Times New Roman" w:eastAsia="Times New Roman" w:hAnsi="Times New Roman" w:cs="Times New Roman"/>
          <w:b w:val="0"/>
          <w:i/>
          <w:color w:val="000000"/>
          <w:sz w:val="20"/>
          <w:highlight w:val="white"/>
          <w:u w:val="none"/>
        </w:rPr>
        <w:t xml:space="preserve"> Highlights (in thousands)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Consolidated revenue of $140,541 for 2025, representing a 17% increase over revenue in 2024.</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Recurring revenue of $127,288 for 2025, representing an 11% increase over recurring revenue in 2024.</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Net loss of $13,126 for 2025, an increase of $1,353 from prior year loss of $11,773.</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14"/>
        </w:numPr>
        <w:spacing w:before="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Gross profit of $94,874 for 2025 versus $82,107 in 2024.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both"/>
        <w:outlineLvl w:val="9"/>
        <w:sectPr>
          <w:headerReference w:type="default" r:id="rId13"/>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15" w:name="Section16"/>
      <w:bookmarkEnd w:id="15"/>
    </w:p>
    <w:p>
      <w:pPr>
        <w:keepNext/>
        <w:keepLines/>
        <w:pageBreakBefore w:val="0"/>
        <w:widowControl w:val="0"/>
        <w:numPr>
          <w:ilvl w:val="0"/>
          <w:numId w:val="0"/>
        </w:numPr>
        <w:spacing w:before="0" w:after="0" w:line="288" w:lineRule="auto"/>
        <w:ind w:left="0" w:right="0" w:firstLine="0"/>
        <w:jc w:val="left"/>
        <w:outlineLvl w:val="2"/>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RESULTS OF OPERATIONS </w:t>
      </w:r>
      <w:r>
        <w:rPr>
          <w:rFonts w:ascii="Times New Roman" w:eastAsia="Times New Roman" w:hAnsi="Times New Roman" w:cs="Times New Roman"/>
          <w:b w:val="0"/>
          <w:i w:val="0"/>
          <w:sz w:val="20"/>
        </w:rPr>
        <w:t>(dollar amounts in thousands)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val="0"/>
          <w:i w:val="0"/>
          <w:sz w:val="20"/>
        </w:rPr>
        <w:t>The following table sets forth, for the fiscal periods indicated, the percentage of total revenues represented by certain items in our Consolidated Statements of Comprehensive Loss:</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545"/>
        <w:gridCol w:w="1320"/>
        <w:gridCol w:w="75"/>
        <w:gridCol w:w="1320"/>
      </w:tblGrid>
      <w:tr>
        <w:tblPrEx>
          <w:tblW w:w="10260" w:type="dxa"/>
          <w:tblInd w:w="0" w:type="dxa"/>
          <w:tblLayout w:type="fixed"/>
        </w:tblPrEx>
        <w:trPr>
          <w:cantSplit/>
          <w:trHeight w:hRule="exact" w:val="285"/>
        </w:trPr>
        <w:tc>
          <w:tcPr>
            <w:tcW w:w="754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271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Year Ended December 31,</w:t>
            </w:r>
          </w:p>
        </w:tc>
      </w:tr>
      <w:tr>
        <w:tblPrEx>
          <w:tblW w:w="10260" w:type="dxa"/>
          <w:tblInd w:w="0" w:type="dxa"/>
          <w:tblLayout w:type="fixed"/>
        </w:tblPrEx>
        <w:trPr>
          <w:cantSplit/>
          <w:trHeight w:hRule="exact" w:val="300"/>
        </w:trPr>
        <w:tc>
          <w:tcPr>
            <w:tcW w:w="7545"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13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2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2024</w:t>
            </w:r>
          </w:p>
        </w:tc>
      </w:tr>
      <w:tr>
        <w:tblPrEx>
          <w:tblW w:w="10260" w:type="dxa"/>
          <w:tblInd w:w="0" w:type="dxa"/>
          <w:tblLayout w:type="fixed"/>
        </w:tblPrEx>
        <w:trPr>
          <w:cantSplit/>
          <w:trHeight w:hRule="exact" w:val="300"/>
        </w:trPr>
        <w:tc>
          <w:tcPr>
            <w:tcW w:w="754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Revenues</w:t>
            </w:r>
          </w:p>
        </w:tc>
        <w:tc>
          <w:tcPr>
            <w:tcW w:w="13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69"/>
              </w:tabs>
              <w:spacing w:before="33" w:after="30" w:line="240" w:lineRule="auto"/>
              <w:jc w:val="right"/>
            </w:pPr>
            <w:r>
              <w:rPr>
                <w:rFonts w:ascii="Times New Roman" w:eastAsia="Times New Roman" w:hAnsi="Times New Roman" w:cs="Times New Roman"/>
                <w:b w:val="0"/>
                <w:i w:val="0"/>
                <w:color w:val="000000"/>
                <w:sz w:val="20"/>
                <w:u w:val="none"/>
              </w:rPr>
              <w:tab/>
              <w:t>100</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69"/>
              </w:tabs>
              <w:spacing w:before="33" w:after="30" w:line="240" w:lineRule="auto"/>
              <w:jc w:val="right"/>
            </w:pPr>
            <w:r>
              <w:rPr>
                <w:rFonts w:ascii="Times New Roman" w:eastAsia="Times New Roman" w:hAnsi="Times New Roman" w:cs="Times New Roman"/>
                <w:b w:val="0"/>
                <w:i w:val="0"/>
                <w:color w:val="000000"/>
                <w:sz w:val="20"/>
                <w:u w:val="none"/>
              </w:rPr>
              <w:tab/>
              <w:t>100</w:t>
              <w:tab/>
              <w:t>%</w:t>
            </w:r>
          </w:p>
        </w:tc>
      </w:tr>
      <w:tr>
        <w:tblPrEx>
          <w:tblW w:w="10260" w:type="dxa"/>
          <w:tblInd w:w="0" w:type="dxa"/>
          <w:tblLayout w:type="fixed"/>
        </w:tblPrEx>
        <w:trPr>
          <w:cantSplit/>
          <w:trHeight w:hRule="exact" w:val="300"/>
        </w:trPr>
        <w:tc>
          <w:tcPr>
            <w:tcW w:w="754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Gross profit</w:t>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68</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69</w:t>
              <w:tab/>
              <w:t>%</w:t>
            </w:r>
          </w:p>
        </w:tc>
      </w:tr>
      <w:tr>
        <w:tblPrEx>
          <w:tblW w:w="10260" w:type="dxa"/>
          <w:tblInd w:w="0" w:type="dxa"/>
          <w:tblLayout w:type="fixed"/>
        </w:tblPrEx>
        <w:trPr>
          <w:cantSplit/>
          <w:trHeight w:hRule="exact" w:val="300"/>
        </w:trPr>
        <w:tc>
          <w:tcPr>
            <w:tcW w:w="754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Sales and marketing</w:t>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24</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24</w:t>
              <w:tab/>
              <w:t>%</w:t>
            </w:r>
          </w:p>
        </w:tc>
      </w:tr>
      <w:tr>
        <w:tblPrEx>
          <w:tblW w:w="10260" w:type="dxa"/>
          <w:tblInd w:w="0" w:type="dxa"/>
          <w:tblLayout w:type="fixed"/>
        </w:tblPrEx>
        <w:trPr>
          <w:cantSplit/>
          <w:trHeight w:hRule="exact" w:val="300"/>
        </w:trPr>
        <w:tc>
          <w:tcPr>
            <w:tcW w:w="754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General and administrative</w:t>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33</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34</w:t>
              <w:tab/>
              <w:t>%</w:t>
            </w:r>
          </w:p>
        </w:tc>
      </w:tr>
      <w:tr>
        <w:tblPrEx>
          <w:tblW w:w="10260" w:type="dxa"/>
          <w:tblInd w:w="0" w:type="dxa"/>
          <w:tblLayout w:type="fixed"/>
        </w:tblPrEx>
        <w:trPr>
          <w:cantSplit/>
          <w:trHeight w:hRule="exact" w:val="300"/>
        </w:trPr>
        <w:tc>
          <w:tcPr>
            <w:tcW w:w="754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Research and development</w:t>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169"/>
              </w:tabs>
              <w:spacing w:before="53" w:after="30" w:line="240" w:lineRule="auto"/>
              <w:jc w:val="right"/>
            </w:pPr>
            <w:r>
              <w:rPr>
                <w:rFonts w:ascii="Times New Roman" w:eastAsia="Times New Roman" w:hAnsi="Times New Roman" w:cs="Times New Roman"/>
                <w:b w:val="0"/>
                <w:i w:val="0"/>
                <w:color w:val="000000"/>
                <w:sz w:val="20"/>
                <w:u w:val="none"/>
              </w:rPr>
              <w:tab/>
              <w:t>4</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169"/>
              </w:tabs>
              <w:spacing w:before="53" w:after="30" w:line="240" w:lineRule="auto"/>
              <w:jc w:val="right"/>
            </w:pPr>
            <w:r>
              <w:rPr>
                <w:rFonts w:ascii="Times New Roman" w:eastAsia="Times New Roman" w:hAnsi="Times New Roman" w:cs="Times New Roman"/>
                <w:b w:val="0"/>
                <w:i w:val="0"/>
                <w:color w:val="000000"/>
                <w:sz w:val="20"/>
                <w:u w:val="none"/>
              </w:rPr>
              <w:tab/>
              <w:t>7</w:t>
              <w:tab/>
              <w:t>%</w:t>
            </w:r>
          </w:p>
        </w:tc>
      </w:tr>
      <w:tr>
        <w:tblPrEx>
          <w:tblW w:w="10260" w:type="dxa"/>
          <w:tblInd w:w="0" w:type="dxa"/>
          <w:tblLayout w:type="fixed"/>
        </w:tblPrEx>
        <w:trPr>
          <w:cantSplit/>
          <w:trHeight w:hRule="exact" w:val="300"/>
        </w:trPr>
        <w:tc>
          <w:tcPr>
            <w:tcW w:w="754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Amortization of intangible assets</w:t>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13</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14</w:t>
              <w:tab/>
              <w:t>%</w:t>
            </w:r>
          </w:p>
        </w:tc>
      </w:tr>
      <w:tr>
        <w:tblPrEx>
          <w:tblW w:w="10260" w:type="dxa"/>
          <w:tblInd w:w="0" w:type="dxa"/>
          <w:tblLayout w:type="fixed"/>
        </w:tblPrEx>
        <w:trPr>
          <w:cantSplit/>
          <w:trHeight w:hRule="exact" w:val="300"/>
        </w:trPr>
        <w:tc>
          <w:tcPr>
            <w:tcW w:w="754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Total operating expenses</w:t>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73</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78</w:t>
              <w:tab/>
              <w:t>%</w:t>
            </w:r>
          </w:p>
        </w:tc>
      </w:tr>
      <w:tr>
        <w:tblPrEx>
          <w:tblW w:w="10260" w:type="dxa"/>
          <w:tblInd w:w="0" w:type="dxa"/>
          <w:tblLayout w:type="fixed"/>
        </w:tblPrEx>
        <w:trPr>
          <w:cantSplit/>
          <w:trHeight w:hRule="exact" w:val="300"/>
        </w:trPr>
        <w:tc>
          <w:tcPr>
            <w:tcW w:w="754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Interest Income</w:t>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169"/>
              </w:tabs>
              <w:spacing w:before="53" w:after="30" w:line="240" w:lineRule="auto"/>
              <w:jc w:val="right"/>
            </w:pPr>
            <w:r>
              <w:rPr>
                <w:rFonts w:ascii="Times New Roman" w:eastAsia="Times New Roman" w:hAnsi="Times New Roman" w:cs="Times New Roman"/>
                <w:b w:val="0"/>
                <w:i w:val="0"/>
                <w:color w:val="000000"/>
                <w:sz w:val="20"/>
                <w:u w:val="none"/>
              </w:rPr>
              <w:tab/>
              <w:t>1</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169"/>
              </w:tabs>
              <w:spacing w:before="53" w:after="30" w:line="240" w:lineRule="auto"/>
              <w:jc w:val="right"/>
            </w:pPr>
            <w:r>
              <w:rPr>
                <w:rFonts w:ascii="Times New Roman" w:eastAsia="Times New Roman" w:hAnsi="Times New Roman" w:cs="Times New Roman"/>
                <w:b w:val="0"/>
                <w:i w:val="0"/>
                <w:color w:val="000000"/>
                <w:sz w:val="20"/>
                <w:u w:val="none"/>
              </w:rPr>
              <w:tab/>
              <w:t>1</w:t>
              <w:tab/>
              <w:t>%</w:t>
            </w:r>
          </w:p>
        </w:tc>
      </w:tr>
      <w:tr>
        <w:tblPrEx>
          <w:tblW w:w="10260" w:type="dxa"/>
          <w:tblInd w:w="0" w:type="dxa"/>
          <w:tblLayout w:type="fixed"/>
        </w:tblPrEx>
        <w:trPr>
          <w:cantSplit/>
          <w:trHeight w:hRule="exact" w:val="300"/>
        </w:trPr>
        <w:tc>
          <w:tcPr>
            <w:tcW w:w="754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Interest expense</w:t>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36"/>
              </w:tabs>
              <w:spacing w:before="53" w:after="30" w:line="240" w:lineRule="auto"/>
              <w:jc w:val="right"/>
            </w:pPr>
            <w:r>
              <w:rPr>
                <w:rFonts w:ascii="Times New Roman" w:eastAsia="Times New Roman" w:hAnsi="Times New Roman" w:cs="Times New Roman"/>
                <w:b w:val="0"/>
                <w:i w:val="0"/>
                <w:color w:val="000000"/>
                <w:sz w:val="20"/>
                <w:u w:val="none"/>
              </w:rPr>
              <w:tab/>
              <w:t>(4)</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36"/>
              </w:tabs>
              <w:spacing w:before="53" w:after="30" w:line="240" w:lineRule="auto"/>
              <w:jc w:val="right"/>
            </w:pPr>
            <w:r>
              <w:rPr>
                <w:rFonts w:ascii="Times New Roman" w:eastAsia="Times New Roman" w:hAnsi="Times New Roman" w:cs="Times New Roman"/>
                <w:b w:val="0"/>
                <w:i w:val="0"/>
                <w:color w:val="000000"/>
                <w:sz w:val="20"/>
                <w:u w:val="none"/>
              </w:rPr>
              <w:tab/>
              <w:t>(1)</w:t>
              <w:tab/>
              <w:t>%</w:t>
            </w:r>
          </w:p>
        </w:tc>
      </w:tr>
      <w:tr>
        <w:tblPrEx>
          <w:tblW w:w="10260" w:type="dxa"/>
          <w:tblInd w:w="0" w:type="dxa"/>
          <w:tblLayout w:type="fixed"/>
        </w:tblPrEx>
        <w:trPr>
          <w:cantSplit/>
          <w:trHeight w:hRule="exact" w:val="285"/>
        </w:trPr>
        <w:tc>
          <w:tcPr>
            <w:tcW w:w="754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Other income, net</w:t>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w:t>
              <w:tab/>
              <w:t>%</w:t>
            </w:r>
          </w:p>
        </w:tc>
      </w:tr>
      <w:tr>
        <w:tblPrEx>
          <w:tblW w:w="10260" w:type="dxa"/>
          <w:tblInd w:w="0" w:type="dxa"/>
          <w:tblLayout w:type="fixed"/>
        </w:tblPrEx>
        <w:trPr>
          <w:cantSplit/>
          <w:trHeight w:hRule="exact" w:val="285"/>
        </w:trPr>
        <w:tc>
          <w:tcPr>
            <w:tcW w:w="754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Loss from operations before income taxes</w:t>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36"/>
              </w:tabs>
              <w:spacing w:before="53" w:after="30" w:line="240" w:lineRule="auto"/>
              <w:jc w:val="right"/>
            </w:pPr>
            <w:r>
              <w:rPr>
                <w:rFonts w:ascii="Times New Roman" w:eastAsia="Times New Roman" w:hAnsi="Times New Roman" w:cs="Times New Roman"/>
                <w:b w:val="0"/>
                <w:i w:val="0"/>
                <w:color w:val="000000"/>
                <w:sz w:val="20"/>
                <w:u w:val="none"/>
              </w:rPr>
              <w:tab/>
              <w:t>(9)</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36"/>
              </w:tabs>
              <w:spacing w:before="53" w:after="30" w:line="240" w:lineRule="auto"/>
              <w:jc w:val="right"/>
            </w:pPr>
            <w:r>
              <w:rPr>
                <w:rFonts w:ascii="Times New Roman" w:eastAsia="Times New Roman" w:hAnsi="Times New Roman" w:cs="Times New Roman"/>
                <w:b w:val="0"/>
                <w:i w:val="0"/>
                <w:color w:val="000000"/>
                <w:sz w:val="20"/>
                <w:u w:val="none"/>
              </w:rPr>
              <w:tab/>
              <w:t>(9)</w:t>
              <w:tab/>
              <w:t>%</w:t>
            </w:r>
          </w:p>
        </w:tc>
      </w:tr>
      <w:tr>
        <w:tblPrEx>
          <w:tblW w:w="10260" w:type="dxa"/>
          <w:tblInd w:w="0" w:type="dxa"/>
          <w:tblLayout w:type="fixed"/>
        </w:tblPrEx>
        <w:trPr>
          <w:cantSplit/>
          <w:trHeight w:hRule="exact" w:val="300"/>
        </w:trPr>
        <w:tc>
          <w:tcPr>
            <w:tcW w:w="754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3" w:after="30" w:line="240" w:lineRule="auto"/>
              <w:jc w:val="left"/>
            </w:pPr>
            <w:r>
              <w:rPr>
                <w:rFonts w:ascii="Times New Roman" w:eastAsia="Times New Roman" w:hAnsi="Times New Roman" w:cs="Times New Roman"/>
                <w:b w:val="0"/>
                <w:i w:val="0"/>
                <w:color w:val="000000"/>
                <w:sz w:val="20"/>
                <w:u w:val="none"/>
              </w:rPr>
              <w:t>Net loss</w:t>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236"/>
              </w:tabs>
              <w:spacing w:before="53" w:after="30" w:line="240" w:lineRule="auto"/>
              <w:jc w:val="right"/>
            </w:pPr>
            <w:r>
              <w:rPr>
                <w:rFonts w:ascii="Times New Roman" w:eastAsia="Times New Roman" w:hAnsi="Times New Roman" w:cs="Times New Roman"/>
                <w:b w:val="0"/>
                <w:i w:val="0"/>
                <w:color w:val="000000"/>
                <w:sz w:val="20"/>
                <w:u w:val="none"/>
              </w:rPr>
              <w:tab/>
              <w:t>(9)</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336"/>
              </w:tabs>
              <w:spacing w:before="53" w:after="30" w:line="240" w:lineRule="auto"/>
              <w:jc w:val="right"/>
            </w:pPr>
            <w:r>
              <w:rPr>
                <w:rFonts w:ascii="Times New Roman" w:eastAsia="Times New Roman" w:hAnsi="Times New Roman" w:cs="Times New Roman"/>
                <w:b w:val="0"/>
                <w:i w:val="0"/>
                <w:color w:val="000000"/>
                <w:sz w:val="20"/>
                <w:u w:val="none"/>
              </w:rPr>
              <w:tab/>
              <w:t>(10)</w:t>
              <w:tab/>
              <w:t>%</w:t>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Revenue</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Revenues are comprised of recurring revenues, professional services, hardware, and other revenues. We expect our revenues to increase as we introduce new applications, expand our client base and renew and expand relationships with existing clients. As a percentage of total revenues, we expect our mix of recurring revenues, and professional services, hardware and other revenues to remain relatively constant. While revenue mix varies by product, recurring revenue represented over 91% of total revenue in the year ended 2025, compared to 96% in 2024. This decrease was primarily due to the increase in hardware sales as a result of time and attendance business growth.</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revenue was derived from the following sources (in thousands):</w:t>
      </w:r>
    </w:p>
    <w:tbl>
      <w:tblPr>
        <w:tblW w:w="102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25"/>
        <w:gridCol w:w="1320"/>
        <w:gridCol w:w="75"/>
        <w:gridCol w:w="1320"/>
        <w:gridCol w:w="75"/>
        <w:gridCol w:w="1320"/>
        <w:gridCol w:w="75"/>
        <w:gridCol w:w="1320"/>
      </w:tblGrid>
      <w:tr>
        <w:tblPrEx>
          <w:tblW w:w="10230" w:type="dxa"/>
          <w:tblInd w:w="0" w:type="dxa"/>
          <w:tblLayout w:type="fixed"/>
        </w:tblPrEx>
        <w:trPr>
          <w:cantSplit/>
          <w:trHeight w:hRule="exact" w:val="285"/>
        </w:trPr>
        <w:tc>
          <w:tcPr>
            <w:tcW w:w="472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271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Year Ended December 31,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71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Variance</w:t>
            </w:r>
          </w:p>
        </w:tc>
      </w:tr>
      <w:tr>
        <w:tblPrEx>
          <w:tblW w:w="10230" w:type="dxa"/>
          <w:tblInd w:w="0" w:type="dxa"/>
          <w:tblLayout w:type="fixed"/>
        </w:tblPrEx>
        <w:trPr>
          <w:cantSplit/>
          <w:trHeight w:hRule="exact" w:val="285"/>
        </w:trPr>
        <w:tc>
          <w:tcPr>
            <w:tcW w:w="4725"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13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2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2024</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2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w:t>
            </w:r>
          </w:p>
        </w:tc>
      </w:tr>
      <w:tr>
        <w:tblPrEx>
          <w:tblW w:w="10230" w:type="dxa"/>
          <w:tblInd w:w="0" w:type="dxa"/>
          <w:tblLayout w:type="fixed"/>
        </w:tblPrEx>
        <w:trPr>
          <w:cantSplit/>
          <w:trHeight w:hRule="exact" w:val="285"/>
        </w:trPr>
        <w:tc>
          <w:tcPr>
            <w:tcW w:w="47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Recurring</w:t>
            </w:r>
          </w:p>
        </w:tc>
        <w:tc>
          <w:tcPr>
            <w:tcW w:w="13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37"/>
                <w:tab w:val="left" w:pos="1252"/>
              </w:tabs>
              <w:spacing w:before="33" w:after="30" w:line="240" w:lineRule="auto"/>
              <w:jc w:val="right"/>
            </w:pPr>
            <w:r>
              <w:rPr>
                <w:rFonts w:ascii="Times New Roman" w:eastAsia="Times New Roman" w:hAnsi="Times New Roman" w:cs="Times New Roman"/>
                <w:b w:val="0"/>
                <w:i w:val="0"/>
                <w:color w:val="000000"/>
                <w:sz w:val="20"/>
                <w:u w:val="none"/>
              </w:rPr>
              <w:t>$</w:t>
              <w:tab/>
              <w:t>127,288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37"/>
                <w:tab w:val="left" w:pos="1252"/>
              </w:tabs>
              <w:spacing w:before="33" w:after="30" w:line="240" w:lineRule="auto"/>
              <w:jc w:val="right"/>
            </w:pPr>
            <w:r>
              <w:rPr>
                <w:rFonts w:ascii="Times New Roman" w:eastAsia="Times New Roman" w:hAnsi="Times New Roman" w:cs="Times New Roman"/>
                <w:b w:val="0"/>
                <w:i w:val="0"/>
                <w:color w:val="000000"/>
                <w:sz w:val="20"/>
                <w:u w:val="none"/>
              </w:rPr>
              <w:t>$</w:t>
              <w:tab/>
              <w:t>114,471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37"/>
                <w:tab w:val="left" w:pos="1252"/>
              </w:tabs>
              <w:spacing w:before="33" w:after="30" w:line="240" w:lineRule="auto"/>
              <w:jc w:val="right"/>
            </w:pPr>
            <w:r>
              <w:rPr>
                <w:rFonts w:ascii="Times New Roman" w:eastAsia="Times New Roman" w:hAnsi="Times New Roman" w:cs="Times New Roman"/>
                <w:b w:val="0"/>
                <w:i w:val="0"/>
                <w:color w:val="000000"/>
                <w:sz w:val="20"/>
                <w:u w:val="none"/>
              </w:rPr>
              <w:t>$</w:t>
              <w:tab/>
              <w:t>12,817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69"/>
              </w:tabs>
              <w:spacing w:before="33" w:after="30" w:line="240" w:lineRule="auto"/>
              <w:jc w:val="right"/>
            </w:pPr>
            <w:r>
              <w:rPr>
                <w:rFonts w:ascii="Times New Roman" w:eastAsia="Times New Roman" w:hAnsi="Times New Roman" w:cs="Times New Roman"/>
                <w:b w:val="0"/>
                <w:i w:val="0"/>
                <w:color w:val="000000"/>
                <w:sz w:val="20"/>
                <w:u w:val="none"/>
              </w:rPr>
              <w:tab/>
              <w:t>11</w:t>
              <w:tab/>
              <w:t>%</w:t>
            </w:r>
          </w:p>
        </w:tc>
      </w:tr>
      <w:tr>
        <w:tblPrEx>
          <w:tblW w:w="10230" w:type="dxa"/>
          <w:tblInd w:w="0" w:type="dxa"/>
          <w:tblLayout w:type="fixed"/>
        </w:tblPrEx>
        <w:trPr>
          <w:cantSplit/>
          <w:trHeight w:hRule="exact" w:val="285"/>
        </w:trPr>
        <w:tc>
          <w:tcPr>
            <w:tcW w:w="47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Professional services, hardware and other</w:t>
            </w:r>
          </w:p>
        </w:tc>
        <w:tc>
          <w:tcPr>
            <w:tcW w:w="13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37"/>
                <w:tab w:val="left" w:pos="1252"/>
              </w:tabs>
              <w:spacing w:before="53" w:after="30" w:line="240" w:lineRule="auto"/>
              <w:jc w:val="right"/>
            </w:pPr>
            <w:r>
              <w:rPr>
                <w:rFonts w:ascii="Times New Roman" w:eastAsia="Times New Roman" w:hAnsi="Times New Roman" w:cs="Times New Roman"/>
                <w:b w:val="0"/>
                <w:i w:val="0"/>
                <w:color w:val="000000"/>
                <w:sz w:val="20"/>
                <w:u w:val="none"/>
              </w:rPr>
              <w:tab/>
              <w:t>13,253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37"/>
                <w:tab w:val="left" w:pos="1252"/>
              </w:tabs>
              <w:spacing w:before="53" w:after="30" w:line="240" w:lineRule="auto"/>
              <w:jc w:val="right"/>
            </w:pPr>
            <w:r>
              <w:rPr>
                <w:rFonts w:ascii="Times New Roman" w:eastAsia="Times New Roman" w:hAnsi="Times New Roman" w:cs="Times New Roman"/>
                <w:b w:val="0"/>
                <w:i w:val="0"/>
                <w:color w:val="000000"/>
                <w:sz w:val="20"/>
                <w:u w:val="none"/>
              </w:rPr>
              <w:tab/>
              <w:t>5,321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37"/>
                <w:tab w:val="left" w:pos="1252"/>
              </w:tabs>
              <w:spacing w:before="53" w:after="30" w:line="240" w:lineRule="auto"/>
              <w:jc w:val="right"/>
            </w:pPr>
            <w:r>
              <w:rPr>
                <w:rFonts w:ascii="Times New Roman" w:eastAsia="Times New Roman" w:hAnsi="Times New Roman" w:cs="Times New Roman"/>
                <w:b w:val="0"/>
                <w:i w:val="0"/>
                <w:color w:val="000000"/>
                <w:sz w:val="20"/>
                <w:u w:val="none"/>
              </w:rPr>
              <w:tab/>
              <w:t>7,932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
                <w:tab w:val="left" w:pos="369"/>
              </w:tabs>
              <w:spacing w:before="53" w:after="30" w:line="240" w:lineRule="auto"/>
              <w:jc w:val="right"/>
            </w:pPr>
            <w:r>
              <w:rPr>
                <w:rFonts w:ascii="Times New Roman" w:eastAsia="Times New Roman" w:hAnsi="Times New Roman" w:cs="Times New Roman"/>
                <w:b w:val="0"/>
                <w:i w:val="0"/>
                <w:color w:val="000000"/>
                <w:sz w:val="20"/>
                <w:u w:val="none"/>
              </w:rPr>
              <w:tab/>
              <w:t>149</w:t>
              <w:tab/>
              <w:t>%</w:t>
            </w:r>
          </w:p>
        </w:tc>
      </w:tr>
      <w:tr>
        <w:tblPrEx>
          <w:tblW w:w="10230" w:type="dxa"/>
          <w:tblInd w:w="0" w:type="dxa"/>
          <w:tblLayout w:type="fixed"/>
        </w:tblPrEx>
        <w:trPr>
          <w:cantSplit/>
          <w:trHeight w:hRule="exact" w:val="285"/>
        </w:trPr>
        <w:tc>
          <w:tcPr>
            <w:tcW w:w="472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3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537"/>
                <w:tab w:val="left" w:pos="1252"/>
              </w:tabs>
              <w:spacing w:before="33" w:after="30" w:line="240" w:lineRule="auto"/>
              <w:jc w:val="right"/>
            </w:pPr>
            <w:r>
              <w:rPr>
                <w:rFonts w:ascii="Times New Roman" w:eastAsia="Times New Roman" w:hAnsi="Times New Roman" w:cs="Times New Roman"/>
                <w:b w:val="0"/>
                <w:i w:val="0"/>
                <w:color w:val="000000"/>
                <w:sz w:val="20"/>
                <w:u w:val="none"/>
              </w:rPr>
              <w:t>$</w:t>
              <w:tab/>
              <w:t>140,541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537"/>
                <w:tab w:val="left" w:pos="1252"/>
              </w:tabs>
              <w:spacing w:before="33" w:after="30" w:line="240" w:lineRule="auto"/>
              <w:jc w:val="right"/>
            </w:pPr>
            <w:r>
              <w:rPr>
                <w:rFonts w:ascii="Times New Roman" w:eastAsia="Times New Roman" w:hAnsi="Times New Roman" w:cs="Times New Roman"/>
                <w:b w:val="0"/>
                <w:i w:val="0"/>
                <w:color w:val="000000"/>
                <w:sz w:val="20"/>
                <w:u w:val="none"/>
              </w:rPr>
              <w:t>$</w:t>
              <w:tab/>
              <w:t>119,792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37"/>
                <w:tab w:val="left" w:pos="1252"/>
              </w:tabs>
              <w:spacing w:before="33" w:after="30" w:line="240" w:lineRule="auto"/>
              <w:jc w:val="right"/>
            </w:pPr>
            <w:r>
              <w:rPr>
                <w:rFonts w:ascii="Times New Roman" w:eastAsia="Times New Roman" w:hAnsi="Times New Roman" w:cs="Times New Roman"/>
                <w:b w:val="0"/>
                <w:i w:val="0"/>
                <w:color w:val="000000"/>
                <w:sz w:val="20"/>
                <w:u w:val="none"/>
              </w:rPr>
              <w:t>$</w:t>
              <w:tab/>
              <w:t>20,749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
                <w:tab w:val="left" w:pos="269"/>
              </w:tabs>
              <w:spacing w:before="33" w:after="30" w:line="240" w:lineRule="auto"/>
              <w:jc w:val="right"/>
            </w:pPr>
            <w:r>
              <w:rPr>
                <w:rFonts w:ascii="Times New Roman" w:eastAsia="Times New Roman" w:hAnsi="Times New Roman" w:cs="Times New Roman"/>
                <w:b w:val="0"/>
                <w:i w:val="0"/>
                <w:color w:val="000000"/>
                <w:sz w:val="20"/>
                <w:u w:val="none"/>
              </w:rPr>
              <w:tab/>
              <w:t>17</w:t>
              <w:tab/>
              <w:t>%</w:t>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color w:val="000000"/>
          <w:sz w:val="20"/>
          <w:highlight w:val="white"/>
          <w:u w:val="none"/>
        </w:rPr>
      </w:pPr>
      <w:r>
        <w:rPr>
          <w:rFonts w:ascii="Times New Roman" w:eastAsia="Times New Roman" w:hAnsi="Times New Roman" w:cs="Times New Roman"/>
          <w:b w:val="0"/>
          <w:i/>
          <w:color w:val="000000"/>
          <w:sz w:val="20"/>
          <w:highlight w:val="white"/>
          <w:u w:val="none"/>
        </w:rPr>
        <w:t>Recurring Revenues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Recurring revenues include fees for our payroll and tax management, recruiting services, HR compliance, time and labor management, insurance and benefits administration, AsureMarketplace™ and other Asure solutions as well as fees charged for form filings and delivery of client payroll checks and reports. These revenues are derived from fixed amounts charged per billing period and sometimes an additional fee per employee or transaction processed. We do not require clients to enter into long-term contractual commitments for our services. Our billing period varies by client based on when each client pays its employees, which may be weekly, bi-weekly, semi-monthly or monthly. We also generate recurring revenues from our Reseller Partners that license our solutions. Because recurring revenues are based, in part, on fees for use of our applications and the delivery of checks and reports that are levied on a per-employee basis, our recurring revenues increase as our clients hire more employees. Recurring revenues are recognized in the period services are rendered.</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Recurring revenues include revenues relating to the annual processing of payroll forms, such as Form W-2 and Form 1099, and revenues from processing unscheduled payroll runs (such as bonuses) for our clients. Because payroll forms are typically processed in the first quarter of the year and many of our clients are subject to form filing requirements mandated by the ACA, first quarter revenues and margins are generally higher than in subsequent quarters. We anticipate our revenues will continue to exhibit this seasonal pattern related to ACA form filings for so long as the ACA (or replacement legislation) includes employer reporting requirements. In addition, we often experience increased revenues during the fourth quarter due to unscheduled payroll runs for our clients that occur before the end of the year. We expect the seasonality of our revenue cycle to decrease to the extent clients utilize more of our non-payroll applications.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This revenue line also includes interest earned on funds held for clients. Interest earned is generated from funds we collect from clients in advance of either the applicable due date for payroll tax submissions or the applicable disbursement date for employee payment services. These collections from clients are typically disbursed from one to 30 days after receipt, with some funds being held for up to 120 days. We typically invest funds held for clients in money market funds, demand deposit accounts, commercial paper, and fixed income securities until they are paid to the applicable tax or regulatory agencies or to client employees. The amount of interest we earn from the investment of client funds is also impacted by changes in interest rates.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Recurring revenue for the year ended December 31, 2025, was $127,288, an increase of $12,817, or 11%, from $114,471 for the year ended December 31, 2024. The increase is primarily due to an increase in time and attendance and payroll tax management solutions.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Professional Services, Hardware and Other Revenues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Professional services, hardware and other revenues represents implementation fees, one-time consulting projects, on-premise maintenance, hardware devices to enhance our software products.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Professional services, hardware and other revenue increased by $7,932, or 149%, for the year ended December 31, 2025, from the similar period in 2024, primarily due to an increase in hardware related to our time and attendance solutions.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total customer base is widely spread across industries and sizes. Geographically, we sell our products primarily in the United States.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 addition to continuing to develop our workforce solutions and release of new software updates and enhancements, we continue to actively explore other opportunities to acquire additional products or technologies to complement our current software and services.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Gross Profit and Gross Margin</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Consolidated gross profit for the year ended December 31, 2025, was $94,874, an increase of $12,767, or 16%, from $82,107 for the year ended December 31, 2024. Gross margin as a percentage of revenue was 68% for the year ended December 31, 2025, as compared to 69% for the year ended December 31, 2024. The decrease is primarily attributable to the growth in our time and attendance solutions, which are lower margin in comparison to our other offerings.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cost of sales relates primarily to direct product costs, compensation for operations and related consulting expenses, hardware expenses, cloud hosting expenses and the amortization of our capitalized software development costs. We include intangible amortization related to developed and acquired technology within cost of sales.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Sales and Marketing Expenses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Sales and marketing expenses primarily consist of salaries and related expenses for sales and marketing staff, including stock-based expenses, commissions, as well as marketing programs, which include events, corporate communications and product marketing activities.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Sales and marketing expenses for the year ended December 31, 2025, were $33,569, an increase of $5,253, or 19%, from $28,316 for the year ended December 31, 2024, primarily due to an increase in compensation-related expenses due to changes in headcount associated with sales and marketing functions. Sales and marketing expenses as a percentage of revenue remained flat at 24% for the year ended December 31, 2025 and 2024.</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expect to continue to expand and increase selling costs as we focus on hiring direct sales personnel, expanding recognition of our brand, and lead generation.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General and Administrative Expenses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General and administrative expenses primarily consist of salaries and related expenses, including stock-based expenses for finance and accounting, legal, internal audit, human resources and management information systems personnel, legal costs, professional fees, and other corporate expenses such as transaction costs for acquisitions.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General and administrative expenses for the year ended December 31, 2025, were $45,831, an increase of $5,332, or 13%, from $40,499 for the year ended December 31, 2024, primarily attributable to an increased compensation-related expenses and contractors due to changes in headcount associated with administrative functions. General and administrative expenses as a percentage of revenue decreased to 33% for the year ended December 31, 2025, from 34% for the same period in 2024.</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Research and Development Expenses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Research and development (“R&amp;D”) expenses consist primarily of salaries and related expenses, including stock-based expenses for employees supporting our R&amp;D activities.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R&amp;D expenses for the year ended December 31, 2025, were $5,599, a decrease of $2,208, or 28%, from $7,807 for the year ended December 31, 2024. The decrease in R&amp;D expense is primarily attributable to an increase in capitalization of software development expenses driven by continued investments in the development of our products, partially offset by an increase in personnel compensation expenses. R&amp;D expenses as a percentage of revenues decreased to 4% for the year ended December 31, 2025, from 7% for the same period in 2024.</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Amortization of Intangible Assets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highlight w:val="white"/>
          <w:u w:val="none"/>
        </w:rPr>
        <w:t xml:space="preserve">Amortization expense in operating expenses for the year ended December 31, 2025, was $18,283, an increase of $2,061, or 13%, from $16,222 for the year ended December 31, 2024. The increase in amortization expense is primarily attributable to </w:t>
      </w:r>
      <w:r>
        <w:rPr>
          <w:rFonts w:ascii="Times New Roman" w:eastAsia="Times New Roman" w:hAnsi="Times New Roman" w:cs="Times New Roman"/>
          <w:b w:val="0"/>
          <w:i w:val="0"/>
          <w:sz w:val="20"/>
        </w:rPr>
        <w:t>our continuing acquisitions strategy, with additional acquisitions occurring each quarter</w:t>
      </w:r>
      <w:r>
        <w:rPr>
          <w:rFonts w:ascii="Times New Roman" w:eastAsia="Times New Roman" w:hAnsi="Times New Roman" w:cs="Times New Roman"/>
          <w:b w:val="0"/>
          <w:i w:val="0"/>
          <w:color w:val="000000"/>
          <w:sz w:val="20"/>
          <w:highlight w:val="white"/>
          <w:u w:val="none"/>
        </w:rPr>
        <w:t xml:space="preserve">. Amortization expense as a percentage of revenue was 13% for the </w:t>
      </w:r>
      <w:r>
        <w:rPr>
          <w:rFonts w:ascii="Times New Roman" w:eastAsia="Times New Roman" w:hAnsi="Times New Roman" w:cs="Times New Roman"/>
          <w:b w:val="0"/>
          <w:i w:val="0"/>
          <w:sz w:val="20"/>
        </w:rPr>
        <w:t>year ended December 31, 2025, from 14% for the same period in 2024.</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Interest Income and Expense</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Interest income for the year ended December 31, 2025, was $869 compared to interest income of $913 for the year ended December 31, 2024. Interest income as a percentage of revenue remained flat at 1% for the years ended December 31, 2025 and 2024. Interest expense for the year ended December 31, 2025, was $5,056 compared to interest expense of $1,024 for the year ended December 31, 2024. The increase in interest expense relative to the prior year is primarily attributable to interest accrued under our Loan Agreement (defined below) with MidCap Financial Trust (“MidCap”). Interest expense as a percentage of revenue was 4% for the year ended December 31, 2025, compared to 1% for the year ended December 31, 2024. Interest expenses for the years ended December 31, 2025 and 2024, are composed primarily of interest expense on notes payable.</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Other Income, Net</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 xml:space="preserve">Other income, net for the </w:t>
      </w:r>
      <w:r>
        <w:rPr>
          <w:rFonts w:ascii="Times New Roman" w:eastAsia="Times New Roman" w:hAnsi="Times New Roman" w:cs="Times New Roman"/>
          <w:b w:val="0"/>
          <w:i w:val="0"/>
          <w:sz w:val="20"/>
        </w:rPr>
        <w:t>year ended December 31, 2025,</w:t>
      </w:r>
      <w:r>
        <w:rPr>
          <w:rFonts w:ascii="Times New Roman" w:eastAsia="Times New Roman" w:hAnsi="Times New Roman" w:cs="Times New Roman"/>
          <w:b w:val="0"/>
          <w:i w:val="0"/>
          <w:color w:val="000000"/>
          <w:sz w:val="20"/>
          <w:highlight w:val="white"/>
          <w:u w:val="none"/>
        </w:rPr>
        <w:t xml:space="preserve"> was $121 compared to $8 </w:t>
      </w:r>
      <w:r>
        <w:rPr>
          <w:rFonts w:ascii="Times New Roman" w:eastAsia="Times New Roman" w:hAnsi="Times New Roman" w:cs="Times New Roman"/>
          <w:b w:val="0"/>
          <w:i w:val="0"/>
          <w:sz w:val="20"/>
        </w:rPr>
        <w:t>for the year ended December 31, 2024</w:t>
      </w:r>
      <w:r>
        <w:rPr>
          <w:rFonts w:ascii="Times New Roman" w:eastAsia="Times New Roman" w:hAnsi="Times New Roman" w:cs="Times New Roman"/>
          <w:b w:val="0"/>
          <w:i w:val="0"/>
          <w:color w:val="000000"/>
          <w:sz w:val="20"/>
          <w:highlight w:val="white"/>
          <w:u w:val="none"/>
        </w:rPr>
        <w:t xml:space="preserve">. Other income, net as a percentage of revenue was negligible </w:t>
      </w:r>
      <w:r>
        <w:rPr>
          <w:rFonts w:ascii="Times New Roman" w:eastAsia="Times New Roman" w:hAnsi="Times New Roman" w:cs="Times New Roman"/>
          <w:b w:val="0"/>
          <w:i w:val="0"/>
          <w:sz w:val="20"/>
        </w:rPr>
        <w:t>for the years ended December 31, 2025 and 2024.</w:t>
      </w:r>
      <w:r>
        <w:rPr>
          <w:rFonts w:ascii="Times New Roman" w:eastAsia="Times New Roman" w:hAnsi="Times New Roman" w:cs="Times New Roman"/>
          <w:b w:val="0"/>
          <w:i w:val="0"/>
          <w:color w:val="000000"/>
          <w:sz w:val="20"/>
          <w:highlight w:val="white"/>
          <w:u w:val="none"/>
        </w:rPr>
        <w:t xml:space="preserve"> For the </w:t>
      </w:r>
      <w:r>
        <w:rPr>
          <w:rFonts w:ascii="Times New Roman" w:eastAsia="Times New Roman" w:hAnsi="Times New Roman" w:cs="Times New Roman"/>
          <w:b w:val="0"/>
          <w:i w:val="0"/>
          <w:sz w:val="20"/>
        </w:rPr>
        <w:t>year ended December 31, 2025</w:t>
      </w:r>
      <w:r>
        <w:rPr>
          <w:rFonts w:ascii="Times New Roman" w:eastAsia="Times New Roman" w:hAnsi="Times New Roman" w:cs="Times New Roman"/>
          <w:b w:val="0"/>
          <w:i w:val="0"/>
          <w:color w:val="000000"/>
          <w:sz w:val="20"/>
          <w:highlight w:val="white"/>
          <w:u w:val="none"/>
        </w:rPr>
        <w:t>, the amounts in other income, net p</w:t>
      </w:r>
      <w:r>
        <w:rPr>
          <w:rFonts w:ascii="Times New Roman" w:eastAsia="Times New Roman" w:hAnsi="Times New Roman" w:cs="Times New Roman"/>
          <w:b w:val="0"/>
          <w:i w:val="0"/>
          <w:sz w:val="20"/>
        </w:rPr>
        <w:t>rimarily consisted of net gains from settlements of debt via equity issuance. F</w:t>
      </w:r>
      <w:r>
        <w:rPr>
          <w:rFonts w:ascii="Times New Roman" w:eastAsia="Times New Roman" w:hAnsi="Times New Roman" w:cs="Times New Roman"/>
          <w:b w:val="0"/>
          <w:i w:val="0"/>
          <w:sz w:val="20"/>
        </w:rPr>
        <w:t>or the year ended December 31, 2024</w:t>
      </w:r>
      <w:r>
        <w:rPr>
          <w:rFonts w:ascii="Times New Roman" w:eastAsia="Times New Roman" w:hAnsi="Times New Roman" w:cs="Times New Roman"/>
          <w:b w:val="0"/>
          <w:i w:val="0"/>
          <w:color w:val="000000"/>
          <w:sz w:val="20"/>
          <w:highlight w:val="white"/>
          <w:u w:val="none"/>
        </w:rPr>
        <w:t>, the amounts in other income, net primarily</w:t>
      </w:r>
      <w:r>
        <w:rPr>
          <w:rFonts w:ascii="Times New Roman" w:eastAsia="Times New Roman" w:hAnsi="Times New Roman" w:cs="Times New Roman"/>
          <w:b w:val="0"/>
          <w:i w:val="0"/>
          <w:sz w:val="20"/>
        </w:rPr>
        <w:t xml:space="preserve"> consisted of bank fees</w:t>
      </w:r>
      <w:r>
        <w:rPr>
          <w:rFonts w:ascii="Times New Roman" w:eastAsia="Times New Roman" w:hAnsi="Times New Roman" w:cs="Times New Roman"/>
          <w:b w:val="0"/>
          <w:i w:val="0"/>
          <w:color w:val="000000"/>
          <w:sz w:val="20"/>
          <w:highlight w:val="white"/>
          <w:u w:val="none"/>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Income Taxes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For the year ended December 31, 2025 and 2024, we recorded an income tax expense attributable to continuing operations of $652 and $933, respectively, a decrease of $281.</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Loss From Operations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incurred a loss from operations of $13,126, or $0.48 per share, during the year ended December 31, 2025, compared to a loss from operations of $11,773, or $0.45 per share, during the year ended December 31, 2024. Loss from operations as a percentage of total revenues was 9% and 10% for the years ended December 31, 2025 and 2024, respectively.</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16" w:name="Section17"/>
      <w:bookmarkEnd w:id="16"/>
    </w:p>
    <w:p>
      <w:pPr>
        <w:keepNext/>
        <w:keepLines/>
        <w:pageBreakBefore w:val="0"/>
        <w:widowControl w:val="0"/>
        <w:numPr>
          <w:ilvl w:val="0"/>
          <w:numId w:val="0"/>
        </w:numPr>
        <w:spacing w:before="0" w:after="0" w:line="288" w:lineRule="auto"/>
        <w:ind w:left="0" w:right="0" w:firstLine="0"/>
        <w:jc w:val="both"/>
        <w:outlineLvl w:val="2"/>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 xml:space="preserve">LIQUIDITY AND CAPITAL RESOURCES </w:t>
      </w:r>
      <w:r>
        <w:rPr>
          <w:rFonts w:ascii="Times New Roman" w:eastAsia="Times New Roman" w:hAnsi="Times New Roman" w:cs="Times New Roman"/>
          <w:b w:val="0"/>
          <w:i w:val="0"/>
          <w:color w:val="000000"/>
          <w:sz w:val="20"/>
          <w:highlight w:val="white"/>
          <w:u w:val="none"/>
        </w:rPr>
        <w:t>(dollar amounts in thousands)</w:t>
      </w:r>
    </w:p>
    <w:tbl>
      <w:tblPr>
        <w:tblW w:w="1024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165"/>
        <w:gridCol w:w="2010"/>
        <w:gridCol w:w="60"/>
        <w:gridCol w:w="2010"/>
      </w:tblGrid>
      <w:tr>
        <w:tblPrEx>
          <w:tblW w:w="10245" w:type="dxa"/>
          <w:tblInd w:w="0" w:type="dxa"/>
          <w:tblLayout w:type="fixed"/>
        </w:tblPrEx>
        <w:trPr>
          <w:cantSplit/>
          <w:trHeight w:hRule="exact" w:val="285"/>
        </w:trPr>
        <w:tc>
          <w:tcPr>
            <w:tcW w:w="616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201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2025</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01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2024</w:t>
            </w:r>
          </w:p>
        </w:tc>
      </w:tr>
      <w:tr>
        <w:tblPrEx>
          <w:tblW w:w="10245" w:type="dxa"/>
          <w:tblInd w:w="0" w:type="dxa"/>
          <w:tblLayout w:type="fixed"/>
        </w:tblPrEx>
        <w:trPr>
          <w:cantSplit/>
          <w:trHeight w:hRule="exact" w:val="300"/>
        </w:trPr>
        <w:tc>
          <w:tcPr>
            <w:tcW w:w="616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Cash and cash equivalents</w:t>
            </w:r>
            <w:r>
              <w:rPr>
                <w:rFonts w:ascii="Times New Roman" w:eastAsia="Times New Roman" w:hAnsi="Times New Roman" w:cs="Times New Roman"/>
                <w:b w:val="0"/>
                <w:i w:val="0"/>
                <w:sz w:val="20"/>
                <w:vertAlign w:val="superscript"/>
              </w:rPr>
              <w:t>(1)</w:t>
            </w:r>
          </w:p>
        </w:tc>
        <w:tc>
          <w:tcPr>
            <w:tcW w:w="20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1327"/>
                <w:tab w:val="left" w:pos="1942"/>
              </w:tabs>
              <w:spacing w:before="33" w:after="30" w:line="240" w:lineRule="auto"/>
              <w:jc w:val="right"/>
            </w:pPr>
            <w:r>
              <w:rPr>
                <w:rFonts w:ascii="Times New Roman" w:eastAsia="Times New Roman" w:hAnsi="Times New Roman" w:cs="Times New Roman"/>
                <w:b w:val="0"/>
                <w:i w:val="0"/>
                <w:color w:val="000000"/>
                <w:sz w:val="20"/>
                <w:u w:val="none"/>
              </w:rPr>
              <w:t>$</w:t>
              <w:tab/>
              <w:t>25,244</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20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1327"/>
                <w:tab w:val="left" w:pos="1942"/>
              </w:tabs>
              <w:spacing w:before="33" w:after="30" w:line="240" w:lineRule="auto"/>
              <w:jc w:val="right"/>
            </w:pPr>
            <w:r>
              <w:rPr>
                <w:rFonts w:ascii="Times New Roman" w:eastAsia="Times New Roman" w:hAnsi="Times New Roman" w:cs="Times New Roman"/>
                <w:b w:val="0"/>
                <w:i w:val="0"/>
                <w:color w:val="000000"/>
                <w:sz w:val="20"/>
                <w:u w:val="none"/>
              </w:rPr>
              <w:t>$</w:t>
              <w:tab/>
              <w:t>21,425</w:t>
              <w:tab/>
            </w:r>
          </w:p>
        </w:tc>
      </w:tr>
    </w:tbl>
    <w:p>
      <w:pPr>
        <w:keepNext/>
        <w:keepLines/>
        <w:pageBreakBefore w:val="0"/>
        <w:widowControl w:val="0"/>
        <w:numPr>
          <w:ilvl w:val="0"/>
          <w:numId w:val="17"/>
        </w:numPr>
        <w:spacing w:before="0" w:after="0" w:line="288" w:lineRule="auto"/>
        <w:ind w:left="720" w:right="0" w:hanging="720"/>
        <w:jc w:val="left"/>
        <w:outlineLvl w:val="9"/>
        <w:rPr>
          <w:rFonts w:ascii="Times New Roman" w:eastAsia="Times New Roman" w:hAnsi="Times New Roman" w:cs="Times New Roman"/>
          <w:b w:val="0"/>
          <w:i w:val="0"/>
          <w:sz w:val="18"/>
        </w:rPr>
      </w:pPr>
      <w:r>
        <w:rPr>
          <w:rFonts w:ascii="Times New Roman" w:eastAsia="Times New Roman" w:hAnsi="Times New Roman" w:cs="Times New Roman"/>
          <w:b w:val="0"/>
          <w:i w:val="0"/>
          <w:sz w:val="18"/>
        </w:rPr>
        <w:t>This balance excludes cash and cash equivalents in funds held for clients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t>Working Capital</w:t>
      </w:r>
      <w:r>
        <w:rPr>
          <w:rFonts w:ascii="Times New Roman" w:eastAsia="Times New Roman" w:hAnsi="Times New Roman" w:cs="Times New Roman"/>
          <w:b w:val="0"/>
          <w:i w:val="0"/>
          <w:sz w:val="20"/>
        </w:rPr>
        <w:t>. We had working capital of $18,646 at December 31, 2025, an increase of $5,005 from working capital of $13,641 at December 31, 2024. Working capital as of December 31, 2025 and 2024, includes $11,622 and $8,363 of short-term deferred revenue, respectively. Deferred revenue is an obligation to perform future services. We expect that deferred revenue will convert to future revenue as we perform our services, but this does not represent future payments. Deferred revenue can vary based on seasonality, expiration of initial multi-year contracts and deals that are billed after implementation rather than in advance of service delivery.</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t>Operating Activities</w:t>
      </w:r>
      <w:r>
        <w:rPr>
          <w:rFonts w:ascii="Times New Roman" w:eastAsia="Times New Roman" w:hAnsi="Times New Roman" w:cs="Times New Roman"/>
          <w:b w:val="0"/>
          <w:i w:val="0"/>
          <w:sz w:val="20"/>
        </w:rPr>
        <w:t>. Net cash provided by operating activities of $22,218 for the year ended December 31, 2025, was driven by non-cash adjustments to our net loss of approximately $39,291, primarily due to depreciation, amortization, and share-based compensation. This was offset by changes in operating assets and liabilities, which resulted in a use of $3,947 in cash. Net cash provided by operating activities of $9,388 for the year ended December 31, 2024, was driven by non-cash adjustments to our net loss of approximately $28,940, primarily due to depreciation, amortization, and share-based compensation. This was offset by changes in operating assets and liabilities, which resulted in a use of $7,779 in cash.</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t>Investing Activities</w:t>
      </w:r>
      <w:r>
        <w:rPr>
          <w:rFonts w:ascii="Times New Roman" w:eastAsia="Times New Roman" w:hAnsi="Times New Roman" w:cs="Times New Roman"/>
          <w:b w:val="0"/>
          <w:i w:val="0"/>
          <w:sz w:val="20"/>
        </w:rPr>
        <w:t>. Net cash used in investing activities of $86,677 for the year ended December 31, 2025, is primarily due to cash paid in business combinations or asset acquisitions of $53,166, which primarily consists of the purchase of Lathem, purchases of available-for-sale securities of $44,614, and software capitalization costs of $13,733, partially offset by proceeds from sales and maturities of available-for-sale securities of $25,623. Net cash used in investing activities of $19,256 for the year ended December 31, 2024, is primarily due to cash paid in business combinations or asset acquisitions of $13,256 and purchases of available-for-sale securities of $15,643, partially offset by proceeds from sales and maturities of available-for-sale securities of $20,522.</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t>Financing Activities</w:t>
      </w:r>
      <w:r>
        <w:rPr>
          <w:rFonts w:ascii="Times New Roman" w:eastAsia="Times New Roman" w:hAnsi="Times New Roman" w:cs="Times New Roman"/>
          <w:b w:val="0"/>
          <w:i w:val="0"/>
          <w:sz w:val="20"/>
        </w:rPr>
        <w:t>. Net cash provided by financing activities was $83,450 for the year ended December 31, 2025, which primarily consisted of net proceeds of $57,975 from the Loan Agreement (defined below) with MidCap and a net increase in client fund obligations of $34,105. Net cash used in financing activities was $22,042 for the year ended December 31, 2024, which primarily consisted of a net decrease in client fund obligations of $26,342, offset by proceeds of notes payable, net of issuance costs of $4,995.</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 xml:space="preserve">As of </w:t>
      </w:r>
      <w:r>
        <w:rPr>
          <w:rFonts w:ascii="Times New Roman" w:eastAsia="Times New Roman" w:hAnsi="Times New Roman" w:cs="Times New Roman"/>
          <w:b w:val="0"/>
          <w:i w:val="0"/>
          <w:sz w:val="20"/>
        </w:rPr>
        <w:t>December 31, 2025, we have eight subordinated promissory notes related to acquisitions that occurred during 2025 and prior years with a combined outstanding principal balance of $10,775 and maturity dates ranging from August 1, 2026 to July 1, 2029.</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sz w:val="20"/>
        </w:rPr>
        <w:t xml:space="preserve">On April 10, 2025, we entered into a Loan Agreement with MidCap and the lenders from time to time party thereto (such lenders collectively with MidCap, the “Lenders”). Under the Loan Agreement, we may borrow up to </w:t>
      </w:r>
      <w:r>
        <w:rPr>
          <w:rFonts w:ascii="Times New Roman" w:eastAsia="Times New Roman" w:hAnsi="Times New Roman" w:cs="Times New Roman"/>
          <w:b w:val="0"/>
          <w:i w:val="0"/>
          <w:sz w:val="20"/>
        </w:rPr>
        <w:t>$60,000</w:t>
      </w:r>
      <w:r>
        <w:rPr>
          <w:rFonts w:ascii="Times New Roman" w:eastAsia="Times New Roman" w:hAnsi="Times New Roman" w:cs="Times New Roman"/>
          <w:b w:val="0"/>
          <w:i w:val="0"/>
          <w:sz w:val="20"/>
        </w:rPr>
        <w:t xml:space="preserve"> from the Lenders, all of which was funded as of </w:t>
      </w:r>
      <w:r>
        <w:rPr>
          <w:rFonts w:ascii="Times New Roman" w:eastAsia="Times New Roman" w:hAnsi="Times New Roman" w:cs="Times New Roman"/>
          <w:b w:val="0"/>
          <w:i w:val="0"/>
          <w:color w:val="000000"/>
          <w:sz w:val="20"/>
          <w:u w:val="none"/>
        </w:rPr>
        <w:t>June 30, 2025</w:t>
      </w:r>
      <w:r>
        <w:rPr>
          <w:rFonts w:ascii="Times New Roman" w:eastAsia="Times New Roman" w:hAnsi="Times New Roman" w:cs="Times New Roman"/>
          <w:b w:val="0"/>
          <w:i w:val="0"/>
          <w:sz w:val="20"/>
        </w:rPr>
        <w:t>. The maturity date of the loan as provided under the Loan Agreement is April 1, 2030 (the “Maturity Date”).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Interest on the outstanding loan balance is payable monthly in arrears at an annual rate of Term Secured Overnight Financing Rate (“SOFR”) plus </w:t>
      </w:r>
      <w:r>
        <w:rPr>
          <w:rFonts w:ascii="Times New Roman" w:eastAsia="Times New Roman" w:hAnsi="Times New Roman" w:cs="Times New Roman"/>
          <w:b w:val="0"/>
          <w:i w:val="0"/>
          <w:color w:val="000000"/>
          <w:sz w:val="20"/>
          <w:u w:val="none"/>
        </w:rPr>
        <w:t>5.00%</w:t>
      </w:r>
      <w:r>
        <w:rPr>
          <w:rFonts w:ascii="Times New Roman" w:eastAsia="Times New Roman" w:hAnsi="Times New Roman" w:cs="Times New Roman"/>
          <w:b w:val="0"/>
          <w:i w:val="0"/>
          <w:sz w:val="20"/>
        </w:rPr>
        <w:t xml:space="preserve">, subject to a SOFR floor of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sz w:val="20"/>
        </w:rPr>
        <w:t>. This rate was 9.25% as of December 31, 2025. Prior to April 1, 2029 (the “Amortization Start Date”), we must make interest-only payments on the outstanding loan balance. Commencing on the Amortization Start Date and continuing on the first day of each calendar month thereafter, we will pay an amount equal to the total principal of the outstanding loan balance divided by twelve (</w:t>
      </w:r>
      <w:r>
        <w:rPr>
          <w:rFonts w:ascii="Times New Roman" w:eastAsia="Times New Roman" w:hAnsi="Times New Roman" w:cs="Times New Roman"/>
          <w:b w:val="0"/>
          <w:i w:val="0"/>
          <w:color w:val="000000"/>
          <w:sz w:val="20"/>
          <w:u w:val="none"/>
        </w:rPr>
        <w:t>12</w:t>
      </w:r>
      <w:r>
        <w:rPr>
          <w:rFonts w:ascii="Times New Roman" w:eastAsia="Times New Roman" w:hAnsi="Times New Roman" w:cs="Times New Roman"/>
          <w:b w:val="0"/>
          <w:i w:val="0"/>
          <w:sz w:val="20"/>
        </w:rPr>
        <w:t>), for a twelve (</w:t>
      </w:r>
      <w:r>
        <w:rPr>
          <w:rFonts w:ascii="Times New Roman" w:eastAsia="Times New Roman" w:hAnsi="Times New Roman" w:cs="Times New Roman"/>
          <w:b w:val="0"/>
          <w:i w:val="0"/>
          <w:color w:val="000000"/>
          <w:sz w:val="20"/>
          <w:u w:val="none"/>
        </w:rPr>
        <w:t>12</w:t>
      </w:r>
      <w:r>
        <w:rPr>
          <w:rFonts w:ascii="Times New Roman" w:eastAsia="Times New Roman" w:hAnsi="Times New Roman" w:cs="Times New Roman"/>
          <w:b w:val="0"/>
          <w:i w:val="0"/>
          <w:sz w:val="20"/>
        </w:rPr>
        <w:t xml:space="preserve">) month straight-line amortization of equal monthly principal payments. Also on a monthly basis, we must pay an administrative agency fee to MidCap equal to </w:t>
      </w:r>
      <w:r>
        <w:rPr>
          <w:rFonts w:ascii="Times New Roman" w:eastAsia="Times New Roman" w:hAnsi="Times New Roman" w:cs="Times New Roman"/>
          <w:b w:val="0"/>
          <w:i w:val="0"/>
          <w:color w:val="000000"/>
          <w:sz w:val="20"/>
          <w:u w:val="none"/>
        </w:rPr>
        <w:t>0.25%</w:t>
      </w:r>
      <w:r>
        <w:rPr>
          <w:rFonts w:ascii="Times New Roman" w:eastAsia="Times New Roman" w:hAnsi="Times New Roman" w:cs="Times New Roman"/>
          <w:b w:val="0"/>
          <w:i w:val="0"/>
          <w:sz w:val="20"/>
        </w:rPr>
        <w:t xml:space="preserve"> of the average end-of-day principal balance outstanding during the immediately preceding month. At the time of final payment under the loan, we will provide a final payment fee of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sz w:val="20"/>
        </w:rPr>
        <w:t xml:space="preserve"> of the amount advanced thereunder except in the case of a refinance of the loan with MidCap and the Lenders.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We are subject to customary events of default as described in the Loan Agreement. In such event, and for so long as it continues, the outstanding loan balance will bear interest at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sz w:val="20"/>
        </w:rPr>
        <w:t xml:space="preserve"> per annum in excess of the rate otherwise payable. Under the Loan Agreement, we covenant to maintain a (1) Total Leverage Ratio (as defined in the Loan Agreement), as tested quarterly, no greater than </w:t>
      </w:r>
      <w:r>
        <w:rPr>
          <w:rFonts w:ascii="Times New Roman" w:eastAsia="Times New Roman" w:hAnsi="Times New Roman" w:cs="Times New Roman"/>
          <w:b w:val="0"/>
          <w:i w:val="0"/>
          <w:color w:val="000000"/>
          <w:sz w:val="20"/>
          <w:u w:val="none"/>
        </w:rPr>
        <w:t>5.50</w:t>
      </w:r>
      <w:r>
        <w:rPr>
          <w:rFonts w:ascii="Times New Roman" w:eastAsia="Times New Roman" w:hAnsi="Times New Roman" w:cs="Times New Roman"/>
          <w:b w:val="0"/>
          <w:i w:val="0"/>
          <w:sz w:val="20"/>
        </w:rPr>
        <w:t xml:space="preserve"> to 1.00, and (2) minimum liquidity threshold of </w:t>
      </w:r>
      <w:r>
        <w:rPr>
          <w:rFonts w:ascii="Times New Roman" w:eastAsia="Times New Roman" w:hAnsi="Times New Roman" w:cs="Times New Roman"/>
          <w:b w:val="0"/>
          <w:i w:val="0"/>
          <w:color w:val="000000"/>
          <w:sz w:val="20"/>
          <w:u w:val="none"/>
        </w:rPr>
        <w:t>$10,000</w:t>
      </w:r>
      <w:r>
        <w:rPr>
          <w:rFonts w:ascii="Times New Roman" w:eastAsia="Times New Roman" w:hAnsi="Times New Roman" w:cs="Times New Roman"/>
          <w:b w:val="0"/>
          <w:i w:val="0"/>
          <w:sz w:val="20"/>
        </w:rPr>
        <w:t xml:space="preserve">. As of December 31, 2025, we are in compliance with all covenants under the Loan Agreement. </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t>Sources of Liquidity</w:t>
      </w:r>
      <w:r>
        <w:rPr>
          <w:rFonts w:ascii="Times New Roman" w:eastAsia="Times New Roman" w:hAnsi="Times New Roman" w:cs="Times New Roman"/>
          <w:b w:val="0"/>
          <w:i w:val="0"/>
          <w:sz w:val="20"/>
        </w:rPr>
        <w:t>. As of December 31, 2025, our principal sources of liquidity consisted of approximately $25,244 of cash, cash equivalents and restricted cash, and cash generated from operations of our business over twelve months</w:t>
      </w:r>
      <w:r>
        <w:rPr>
          <w:rFonts w:ascii="Times New Roman" w:eastAsia="Times New Roman" w:hAnsi="Times New Roman" w:cs="Times New Roman"/>
          <w:b w:val="0"/>
          <w:i w:val="0"/>
          <w:color w:val="000000"/>
          <w:sz w:val="20"/>
          <w:highlight w:val="white"/>
          <w:u w:val="none"/>
        </w:rPr>
        <w:t xml:space="preserve">. Additionally, we have access to an “at the market offering” program entered in October 31, 2024, under which we may offer and sell up to </w:t>
      </w:r>
      <w:r>
        <w:rPr>
          <w:rFonts w:ascii="Times New Roman" w:eastAsia="Times New Roman" w:hAnsi="Times New Roman" w:cs="Times New Roman"/>
          <w:b w:val="0"/>
          <w:i w:val="0"/>
          <w:color w:val="000000"/>
          <w:sz w:val="20"/>
          <w:u w:val="none"/>
        </w:rPr>
        <w:t>$25,000</w:t>
      </w:r>
      <w:r>
        <w:rPr>
          <w:rFonts w:ascii="Times New Roman" w:eastAsia="Times New Roman" w:hAnsi="Times New Roman" w:cs="Times New Roman"/>
          <w:b w:val="0"/>
          <w:i w:val="0"/>
          <w:color w:val="000000"/>
          <w:sz w:val="20"/>
          <w:highlight w:val="white"/>
          <w:u w:val="none"/>
        </w:rPr>
        <w:t xml:space="preserve"> of newly issued shares of common stock. As of </w:t>
      </w:r>
      <w:r>
        <w:rPr>
          <w:rFonts w:ascii="Times New Roman" w:eastAsia="Times New Roman" w:hAnsi="Times New Roman" w:cs="Times New Roman"/>
          <w:b w:val="0"/>
          <w:i w:val="0"/>
          <w:sz w:val="20"/>
        </w:rPr>
        <w:t>December 31, 2025</w:t>
      </w:r>
      <w:r>
        <w:rPr>
          <w:rFonts w:ascii="Times New Roman" w:eastAsia="Times New Roman" w:hAnsi="Times New Roman" w:cs="Times New Roman"/>
          <w:b w:val="0"/>
          <w:i w:val="0"/>
          <w:color w:val="000000"/>
          <w:sz w:val="20"/>
          <w:highlight w:val="white"/>
          <w:u w:val="none"/>
        </w:rPr>
        <w:t xml:space="preserve">, there are </w:t>
      </w:r>
      <w:r>
        <w:rPr>
          <w:rFonts w:ascii="Times New Roman" w:eastAsia="Times New Roman" w:hAnsi="Times New Roman" w:cs="Times New Roman"/>
          <w:b w:val="0"/>
          <w:i w:val="0"/>
          <w:color w:val="000000"/>
          <w:sz w:val="20"/>
          <w:u w:val="none"/>
        </w:rPr>
        <w:t>$25,000</w:t>
      </w:r>
      <w:r>
        <w:rPr>
          <w:rFonts w:ascii="Times New Roman" w:eastAsia="Times New Roman" w:hAnsi="Times New Roman" w:cs="Times New Roman"/>
          <w:b w:val="0"/>
          <w:i w:val="0"/>
          <w:color w:val="000000"/>
          <w:sz w:val="20"/>
          <w:highlight w:val="white"/>
          <w:u w:val="none"/>
        </w:rPr>
        <w:t xml:space="preserve"> of shares of common stock available for issuance under this program.</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sz w:val="20"/>
        </w:rPr>
        <w:t xml:space="preserve">We cannot assure that we can grow our cash balances or limit our cash consumption and thus maintain sufficient cash balances for our planned operations or future acquisitions. Future business demands may lead to cash utilization at levels greater than recently experienced. However, we believe to have sufficient liquidity as of December 31, 2025, to support our business operations for the next 12 months. We may need to raise additional capital in the future in order to grow our existing software operations and to seem additional strategic acquisitions in the near future. However, we cannot ensure that we will be able to raise additional capital on acceptable terms, or at all.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18"/>
        </w:rPr>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17" w:name="Section18"/>
      <w:bookmarkEnd w:id="17"/>
    </w:p>
    <w:p>
      <w:pPr>
        <w:keepNext/>
        <w:keepLines/>
        <w:pageBreakBefore w:val="0"/>
        <w:widowControl w:val="0"/>
        <w:numPr>
          <w:ilvl w:val="0"/>
          <w:numId w:val="0"/>
        </w:numPr>
        <w:spacing w:before="0" w:after="0" w:line="288" w:lineRule="auto"/>
        <w:ind w:left="0" w:right="0" w:firstLine="0"/>
        <w:jc w:val="both"/>
        <w:outlineLvl w:val="2"/>
        <w:rPr>
          <w:rFonts w:ascii="Times New Roman" w:eastAsia="Times New Roman" w:hAnsi="Times New Roman" w:cs="Times New Roman"/>
          <w:b/>
          <w:i w:val="0"/>
          <w:sz w:val="20"/>
        </w:rPr>
      </w:pPr>
      <w:r>
        <w:rPr>
          <w:rFonts w:ascii="Times New Roman" w:eastAsia="Times New Roman" w:hAnsi="Times New Roman" w:cs="Times New Roman"/>
          <w:b/>
          <w:i w:val="0"/>
          <w:sz w:val="20"/>
        </w:rPr>
        <w:t>CRITICAL ACCOUNTING ESTIMATES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We have prepared our Consolidated Financial Statements in accordance with U.S. generally accepted accounting principles and included the accounts of our wholly owned subsidiaries. Preparation of the Consolidated Financial Statements in conformity with U.S. generally accepted accounting principles requires management to make estimates and assumptions that affect the reported amounts of the assets and liabilities, the disclosure of contingent assets and liabilities at the date of the financial statements and the reported amounts of revenues and expenses during the reported periods. The SEC has defined a company’s critical accounting estimates as those which involve a significant level of estimation uncertainty and have had or are reasonably likely to have a material impact on the financial condition or results of operations. Based on this definition, we have identified the critical accounting estimates addressed below.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base our estimates on historical experience and on various other assumptions that management believes are reasonable under the given circumstances. These estimates could be materially different under different conditions and assumptions. Additionally, the actual amounts could differ from the estimates made. Management periodically evaluates estimates used in the preparation of our financial statements for continued reasonableness. We prospectively apply appropriate adjustments, if any, to our estimates based upon our periodic evaluation.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Valuation of Acquired Assets and Goodwill</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val="0"/>
          <w:i/>
          <w:sz w:val="20"/>
        </w:rPr>
        <w:t>Description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sz w:val="20"/>
        </w:rPr>
      </w:pPr>
      <w:r>
        <w:rPr>
          <w:rFonts w:ascii="Times New Roman" w:eastAsia="Times New Roman" w:hAnsi="Times New Roman" w:cs="Times New Roman"/>
          <w:b w:val="0"/>
          <w:i w:val="0"/>
          <w:sz w:val="20"/>
        </w:rPr>
        <w:t>Identifiable intangible assets and goodwill obtained during business combination transactions are recognized based on the relative and absolute fair values of acquired assets and the excess of purchase price over that value. Intangible assets and goodwill are tested annually for impairment or more frequently when an event or circumstance indicates that they might be impaired.</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sz w:val="20"/>
        </w:rPr>
        <w:t>Judgments and Uncertainties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sz w:val="20"/>
        </w:rPr>
      </w:pPr>
      <w:r>
        <w:rPr>
          <w:rFonts w:ascii="Times New Roman" w:eastAsia="Times New Roman" w:hAnsi="Times New Roman" w:cs="Times New Roman"/>
          <w:b w:val="0"/>
          <w:i w:val="0"/>
          <w:sz w:val="20"/>
        </w:rPr>
        <w:t>During business combination transactions, we use the fair value of acquired identifiable intangible assets to allocate purchase price among acquired assets and determine the excess of purchase price to be recognized as goodwill. Valuation of acquired identifiable intangible assets entails significant estimates and assumptions including, but not limited to, estimating future cash flows from product sales, developing appropriate discount rates, estimating probability rates for the continuation of customer relationships and renewal of customer contracts.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sz w:val="20"/>
        </w:rPr>
      </w:pPr>
      <w:r>
        <w:rPr>
          <w:rFonts w:ascii="Times New Roman" w:eastAsia="Times New Roman" w:hAnsi="Times New Roman" w:cs="Times New Roman"/>
          <w:b w:val="0"/>
          <w:i/>
          <w:sz w:val="20"/>
        </w:rPr>
        <w:t>Sensitivity of Estimate to Change</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sz w:val="20"/>
        </w:rPr>
      </w:pPr>
      <w:r>
        <w:rPr>
          <w:rFonts w:ascii="Times New Roman" w:eastAsia="Times New Roman" w:hAnsi="Times New Roman" w:cs="Times New Roman"/>
          <w:b w:val="0"/>
          <w:i w:val="0"/>
          <w:sz w:val="20"/>
        </w:rPr>
        <w:t>While we believe we have made reasonable estimates and assumptions to calculate the fair value of acquired intangible assets and goodwill, it is possible that a material difference could occur. If actual results are not consistent with the estimates and assumptions used to calculate fair value, it could result in a significant change to the assessment of fair value for intangible assets and goodwill and thus result in material impairment losses.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completed our annual impairment assessments of long-lived assets and goodwill as of December 31, 2025, and determined that there was no impairment of either class of assets.</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18" w:name="Section19"/>
      <w:bookmarkEnd w:id="18"/>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7A.</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QUANTITATIVE AND QUALITATIVE DISCLOSURES ABOUT MARKET RISK</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have operations in the United States, and we are exposed to market risks in the ordinary course of our business. These risks primarily include interest rate, foreign exchange, inflation and counterparty risks, as well as risks relating to changes in the general economic conditions. To reduce certain of these risks, we monitor the financial condition of our large clients and limit credit exposure by principally collecting in advance and setting credit limits as we deem appropriate. In addition, our investment strategy has been to invest in financial instruments, including U.S. treasury securities and money market funds backed by United States Treasury Bills within the guidelines established under our investment policy. To date, we have not used derivative instruments to mitigate the impact of our market risk exposures. We have also not used, nor do we intend to use, derivatives for trading or speculative purposes.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left"/>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19" w:name="Section20"/>
      <w:bookmarkEnd w:id="19"/>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8.</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FINANCIAL STATEMENTS AND SUPPLEMENTARY DATA</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9315"/>
        <w:gridCol w:w="945"/>
      </w:tblGrid>
      <w:tr>
        <w:tblPrEx>
          <w:tblW w:w="10260" w:type="dxa"/>
          <w:tblInd w:w="0" w:type="dxa"/>
          <w:tblLayout w:type="fixed"/>
        </w:tblPrEx>
        <w:trPr>
          <w:cantSplit/>
          <w:trHeight w:hRule="exact" w:val="315"/>
        </w:trPr>
        <w:tc>
          <w:tcPr>
            <w:tcW w:w="10260" w:type="dxa"/>
            <w:gridSpan w:val="2"/>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INDEX TO CONSOLIDATED FINANCIAL STATEMENTS</w:t>
            </w:r>
          </w:p>
        </w:tc>
      </w:tr>
      <w:tr>
        <w:tblPrEx>
          <w:tblW w:w="10260" w:type="dxa"/>
          <w:tblInd w:w="0" w:type="dxa"/>
          <w:tblLayout w:type="fixed"/>
        </w:tblPrEx>
        <w:trPr>
          <w:cantSplit/>
          <w:trHeight w:hRule="exact" w:val="315"/>
        </w:trPr>
        <w:tc>
          <w:tcPr>
            <w:tcW w:w="931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931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Page</w:t>
            </w:r>
          </w:p>
        </w:tc>
      </w:tr>
      <w:tr>
        <w:tblPrEx>
          <w:tblW w:w="10260" w:type="dxa"/>
          <w:tblInd w:w="0" w:type="dxa"/>
          <w:tblLayout w:type="fixed"/>
        </w:tblPrEx>
        <w:trPr>
          <w:cantSplit/>
          <w:trHeight w:hRule="exact" w:val="315"/>
        </w:trPr>
        <w:tc>
          <w:tcPr>
            <w:tcW w:w="931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1" w:history="1">
              <w:r>
                <w:rPr>
                  <w:rFonts w:ascii="Times New Roman" w:eastAsia="Times New Roman" w:hAnsi="Times New Roman" w:cs="Times New Roman"/>
                  <w:b w:val="0"/>
                  <w:i w:val="0"/>
                  <w:color w:val="0000FF"/>
                  <w:sz w:val="20"/>
                  <w:u w:val="single"/>
                  <w:shd w:val="clear" w:color="auto" w:fill="auto"/>
                </w:rPr>
                <w:t>Reports of Independent Registered Public Accounting Firms</w:t>
              </w:r>
            </w:hyperlink>
            <w:r>
              <w:rPr>
                <w:rFonts w:ascii="Times New Roman" w:eastAsia="Times New Roman" w:hAnsi="Times New Roman" w:cs="Times New Roman"/>
                <w:b w:val="0"/>
                <w:i w:val="0"/>
                <w:sz w:val="20"/>
              </w:rPr>
              <w:t xml:space="preserve"> (PCAOB IDs: 199 and 688)</w:t>
            </w:r>
          </w:p>
        </w:tc>
        <w:tc>
          <w:tcPr>
            <w:tcW w:w="94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Section21</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35</w:t>
            </w:r>
            <w:r>
              <w:rPr>
                <w:rFonts w:ascii="Times New Roman" w:eastAsia="Times New Roman" w:hAnsi="Times New Roman" w:cs="Times New Roman"/>
                <w:b w:val="0"/>
                <w:i w:val="0"/>
                <w:color w:val="0000FF"/>
                <w:sz w:val="20"/>
                <w:u w:val="single"/>
              </w:rPr>
              <w:fldChar w:fldCharType="end"/>
            </w:r>
          </w:p>
        </w:tc>
      </w:tr>
      <w:tr>
        <w:tblPrEx>
          <w:tblW w:w="10260" w:type="dxa"/>
          <w:tblInd w:w="0" w:type="dxa"/>
          <w:tblLayout w:type="fixed"/>
        </w:tblPrEx>
        <w:trPr>
          <w:cantSplit/>
          <w:trHeight w:hRule="exact" w:val="315"/>
        </w:trPr>
        <w:tc>
          <w:tcPr>
            <w:tcW w:w="931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931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3" w:history="1">
              <w:r>
                <w:rPr>
                  <w:rFonts w:ascii="Times New Roman" w:eastAsia="Times New Roman" w:hAnsi="Times New Roman" w:cs="Times New Roman"/>
                  <w:b w:val="0"/>
                  <w:i w:val="0"/>
                  <w:color w:val="0000FF"/>
                  <w:sz w:val="20"/>
                  <w:u w:val="single"/>
                  <w:shd w:val="clear" w:color="auto" w:fill="auto"/>
                </w:rPr>
                <w:t>Consolidated Balance Sheets</w:t>
              </w:r>
            </w:hyperlink>
          </w:p>
        </w:tc>
        <w:tc>
          <w:tcPr>
            <w:tcW w:w="94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Section23</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37</w:t>
            </w:r>
            <w:r>
              <w:rPr>
                <w:rFonts w:ascii="Times New Roman" w:eastAsia="Times New Roman" w:hAnsi="Times New Roman" w:cs="Times New Roman"/>
                <w:b w:val="0"/>
                <w:i w:val="0"/>
                <w:color w:val="0000FF"/>
                <w:sz w:val="20"/>
                <w:u w:val="single"/>
              </w:rPr>
              <w:fldChar w:fldCharType="end"/>
            </w:r>
          </w:p>
        </w:tc>
      </w:tr>
      <w:tr>
        <w:tblPrEx>
          <w:tblW w:w="10260" w:type="dxa"/>
          <w:tblInd w:w="0" w:type="dxa"/>
          <w:tblLayout w:type="fixed"/>
        </w:tblPrEx>
        <w:trPr>
          <w:cantSplit/>
          <w:trHeight w:hRule="exact" w:val="315"/>
        </w:trPr>
        <w:tc>
          <w:tcPr>
            <w:tcW w:w="931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931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4" w:history="1">
              <w:r>
                <w:rPr>
                  <w:rFonts w:ascii="Times New Roman" w:eastAsia="Times New Roman" w:hAnsi="Times New Roman" w:cs="Times New Roman"/>
                  <w:b w:val="0"/>
                  <w:i w:val="0"/>
                  <w:color w:val="0000FF"/>
                  <w:sz w:val="20"/>
                  <w:u w:val="single"/>
                  <w:shd w:val="clear" w:color="auto" w:fill="auto"/>
                </w:rPr>
                <w:t>Consolidated Statements of Comprehensive Loss</w:t>
              </w:r>
            </w:hyperlink>
            <w:r>
              <w:rPr>
                <w:rFonts w:ascii="Times New Roman" w:eastAsia="Times New Roman" w:hAnsi="Times New Roman" w:cs="Times New Roman"/>
                <w:b w:val="0"/>
                <w:i w:val="0"/>
                <w:sz w:val="20"/>
              </w:rPr>
              <w:t xml:space="preserve"> </w:t>
            </w:r>
          </w:p>
        </w:tc>
        <w:tc>
          <w:tcPr>
            <w:tcW w:w="94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Section24</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38</w:t>
            </w:r>
            <w:r>
              <w:rPr>
                <w:rFonts w:ascii="Times New Roman" w:eastAsia="Times New Roman" w:hAnsi="Times New Roman" w:cs="Times New Roman"/>
                <w:b w:val="0"/>
                <w:i w:val="0"/>
                <w:color w:val="0000FF"/>
                <w:sz w:val="20"/>
                <w:u w:val="single"/>
              </w:rPr>
              <w:fldChar w:fldCharType="end"/>
            </w:r>
          </w:p>
        </w:tc>
      </w:tr>
      <w:tr>
        <w:tblPrEx>
          <w:tblW w:w="10260" w:type="dxa"/>
          <w:tblInd w:w="0" w:type="dxa"/>
          <w:tblLayout w:type="fixed"/>
        </w:tblPrEx>
        <w:trPr>
          <w:cantSplit/>
          <w:trHeight w:hRule="exact" w:val="315"/>
        </w:trPr>
        <w:tc>
          <w:tcPr>
            <w:tcW w:w="931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931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5" w:history="1">
              <w:r>
                <w:rPr>
                  <w:rFonts w:ascii="Times New Roman" w:eastAsia="Times New Roman" w:hAnsi="Times New Roman" w:cs="Times New Roman"/>
                  <w:b w:val="0"/>
                  <w:i w:val="0"/>
                  <w:color w:val="0000FF"/>
                  <w:sz w:val="20"/>
                  <w:u w:val="single"/>
                  <w:shd w:val="clear" w:color="auto" w:fill="auto"/>
                </w:rPr>
                <w:t>Consolidated Statements of Changes in Stockholders’ Equity</w:t>
              </w:r>
            </w:hyperlink>
          </w:p>
        </w:tc>
        <w:tc>
          <w:tcPr>
            <w:tcW w:w="94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Section25</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39</w:t>
            </w:r>
            <w:r>
              <w:rPr>
                <w:rFonts w:ascii="Times New Roman" w:eastAsia="Times New Roman" w:hAnsi="Times New Roman" w:cs="Times New Roman"/>
                <w:b w:val="0"/>
                <w:i w:val="0"/>
                <w:color w:val="0000FF"/>
                <w:sz w:val="20"/>
                <w:u w:val="single"/>
              </w:rPr>
              <w:fldChar w:fldCharType="end"/>
            </w:r>
          </w:p>
        </w:tc>
      </w:tr>
      <w:tr>
        <w:tblPrEx>
          <w:tblW w:w="10260" w:type="dxa"/>
          <w:tblInd w:w="0" w:type="dxa"/>
          <w:tblLayout w:type="fixed"/>
        </w:tblPrEx>
        <w:trPr>
          <w:cantSplit/>
          <w:trHeight w:hRule="exact" w:val="315"/>
        </w:trPr>
        <w:tc>
          <w:tcPr>
            <w:tcW w:w="931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931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6" w:history="1">
              <w:r>
                <w:rPr>
                  <w:rFonts w:ascii="Times New Roman" w:eastAsia="Times New Roman" w:hAnsi="Times New Roman" w:cs="Times New Roman"/>
                  <w:b w:val="0"/>
                  <w:i w:val="0"/>
                  <w:color w:val="0000FF"/>
                  <w:sz w:val="20"/>
                  <w:u w:val="single"/>
                  <w:shd w:val="clear" w:color="auto" w:fill="auto"/>
                </w:rPr>
                <w:t>Consolidated Statements of Cash Flows</w:t>
              </w:r>
            </w:hyperlink>
          </w:p>
        </w:tc>
        <w:tc>
          <w:tcPr>
            <w:tcW w:w="94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Section26</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40</w:t>
            </w:r>
            <w:r>
              <w:rPr>
                <w:rFonts w:ascii="Times New Roman" w:eastAsia="Times New Roman" w:hAnsi="Times New Roman" w:cs="Times New Roman"/>
                <w:b w:val="0"/>
                <w:i w:val="0"/>
                <w:color w:val="0000FF"/>
                <w:sz w:val="20"/>
                <w:u w:val="single"/>
              </w:rPr>
              <w:fldChar w:fldCharType="end"/>
            </w:r>
          </w:p>
        </w:tc>
      </w:tr>
      <w:tr>
        <w:tblPrEx>
          <w:tblW w:w="10260" w:type="dxa"/>
          <w:tblInd w:w="0" w:type="dxa"/>
          <w:tblLayout w:type="fixed"/>
        </w:tblPrEx>
        <w:trPr>
          <w:cantSplit/>
          <w:trHeight w:hRule="exact" w:val="315"/>
        </w:trPr>
        <w:tc>
          <w:tcPr>
            <w:tcW w:w="931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931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7" w:history="1">
              <w:r>
                <w:rPr>
                  <w:rFonts w:ascii="Times New Roman" w:eastAsia="Times New Roman" w:hAnsi="Times New Roman" w:cs="Times New Roman"/>
                  <w:b w:val="0"/>
                  <w:i w:val="0"/>
                  <w:color w:val="0000FF"/>
                  <w:sz w:val="20"/>
                  <w:u w:val="single"/>
                  <w:shd w:val="clear" w:color="auto" w:fill="auto"/>
                </w:rPr>
                <w:t>Notes to the Consolidated Financial Statements</w:t>
              </w:r>
            </w:hyperlink>
          </w:p>
        </w:tc>
        <w:tc>
          <w:tcPr>
            <w:tcW w:w="94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Section27</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42</w:t>
            </w:r>
            <w:r>
              <w:rPr>
                <w:rFonts w:ascii="Times New Roman" w:eastAsia="Times New Roman" w:hAnsi="Times New Roman" w:cs="Times New Roman"/>
                <w:b w:val="0"/>
                <w:i w:val="0"/>
                <w:color w:val="0000FF"/>
                <w:sz w:val="20"/>
                <w:u w:val="single"/>
              </w:rPr>
              <w:fldChar w:fldCharType="end"/>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
        </w:rPr>
        <w:sectPr>
          <w:footerReference w:type="default" r:id="rId14"/>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69" w:lineRule="auto"/>
        <w:ind w:left="0" w:right="0" w:firstLine="0"/>
        <w:jc w:val="center"/>
        <w:outlineLvl w:val="2"/>
        <w:rPr>
          <w:rFonts w:ascii="Times New Roman" w:eastAsia="Times New Roman" w:hAnsi="Times New Roman" w:cs="Times New Roman"/>
          <w:b/>
          <w:i w:val="0"/>
          <w:sz w:val="20"/>
        </w:rPr>
      </w:pPr>
      <w:bookmarkStart w:id="20" w:name="Section21"/>
      <w:bookmarkEnd w:id="20"/>
      <w:r>
        <w:rPr>
          <w:rFonts w:ascii="Times New Roman" w:eastAsia="Times New Roman" w:hAnsi="Times New Roman" w:cs="Times New Roman"/>
          <w:b/>
          <w:i w:val="0"/>
          <w:sz w:val="20"/>
        </w:rPr>
        <w:t>REPORT OF INDEPENDENT REGISTERED PUBLIC ACCOUNTING FIRM</w:t>
      </w:r>
    </w:p>
    <w:p>
      <w:pPr>
        <w:keepNext w:val="0"/>
        <w:keepLines/>
        <w:pageBreakBefore w:val="0"/>
        <w:widowControl w:val="0"/>
        <w:numPr>
          <w:ilvl w:val="0"/>
          <w:numId w:val="0"/>
        </w:numPr>
        <w:spacing w:before="0" w:after="0" w:line="276"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To the Stockholders and Board of Directors of Asure Software, Inc. </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Opinion on the Financial Statements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We have audited the accompanying consolidated balance sheet of Asure Software, Inc. (the “Company”) as of December 31, 2025, the related consolidated statements of comprehensive loss, changes in stockholders’ equity and cash flows for the year ended December 31, 2025, and the related notes (collectively referred to as the “financial statements”).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 our opinion, the financial statements present fairly, in all material respects, the financial position of the Company as of December 31, 2025, and the results of its operations and its cash flows for the year ended December 31, 2025, in conformity with accounting principles generally accepted in the United States of America.</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also have audited, in accordance with the standards of the Public Company Accounting Oversight Board (United States) ("PCAOB"), the Company's internal control over financial reporting as of December 31, 2025, based on the criteria established in Internal Control – Integrated Framework issued by the Committee of Sponsoring Organizations of the Treadway Commission (COSO) in 2013 and our report dated February 26, 2026, expressed an unqualified opinion  on the effectiveness of the Company’s internal control over financial reporting.</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Basis for Opinion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These financial statements are the responsibility of the Company's management. Our responsibility is to express an opinion on the Company's financial statements based on our audit. We are a public accounting firm registered with the PCAOB and are required to be independent with respect to the Company in accordance with the U.S. federal securities laws and the applicable rules and regulations of the Securities and Exchange Commission and the PCAOB.</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conducted our audit in accordance with the standards of the PCAOB. Those standards require that we plan and perform the audit to obtain reasonable assurance about whether the financial statements are free of material misstatement, whether due to error or fraud. Our audit included performing procedures to assess the risks of material misstatement of the financial statements, whether due to error or fraud, and performing procedures that respond to those risks. Such procedures included examining, on a test basis, evidence regarding the amounts and disclosures in the financial statements. Our audit also included evaluating the accounting principles used and significant estimates made by management, as well as evaluating the overall presentation of the financial statements. We believe that our audit provides a reasonable basis for our opinion.</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Critical Audit Matters</w:t>
      </w:r>
      <w:r>
        <w:rPr>
          <w:rFonts w:ascii="Times New Roman" w:eastAsia="Times New Roman" w:hAnsi="Times New Roman" w:cs="Times New Roman"/>
          <w:b w:val="0"/>
          <w:i w:val="0"/>
          <w:sz w:val="20"/>
        </w:rPr>
        <w:t xml:space="preserve"> </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Critical audit matters are matters arising from the current period audit of the financial statements that were communicated or required to be communicated to the audit committee and that: (1) relate to accounts or disclosures that are material to the financial statements and (2) involved our especially challenging, subjective, or complex judgments. We determined that there are no critical audit matters.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highlight w:val="yellow"/>
          <w:u w:val="none"/>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 CBIZ CPAs P.C.</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CBIZ CPAs P.C.</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have served as the Company’s auditor since 2016 (such date takes into account the acquisition of the attest business of Marcum LLP by CBIZ CPAs P.C. effective November 1, 2024).</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Los Angeles, California</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February 26, 2026</w:t>
      </w:r>
    </w:p>
    <w:p>
      <w:pPr>
        <w:keepNext w:val="0"/>
        <w:keepLines/>
        <w:pageBreakBefore w:val="0"/>
        <w:widowControl w:val="0"/>
        <w:numPr>
          <w:ilvl w:val="0"/>
          <w:numId w:val="0"/>
        </w:numPr>
        <w:spacing w:before="0" w:after="0" w:line="288" w:lineRule="auto"/>
        <w:ind w:left="0" w:right="0" w:firstLine="0"/>
        <w:jc w:val="both"/>
        <w:outlineLvl w:val="9"/>
        <w:sectPr>
          <w:pgSz w:w="12240" w:h="15840"/>
          <w:pgMar w:top="855" w:right="990" w:bottom="855" w:left="990" w:header="270" w:footer="270"/>
          <w:cols w:space="708"/>
        </w:sectPr>
      </w:pPr>
    </w:p>
    <w:p>
      <w:pPr>
        <w:keepNext w:val="0"/>
        <w:keepLines/>
        <w:pageBreakBefore w:val="0"/>
        <w:widowControl w:val="0"/>
        <w:numPr>
          <w:ilvl w:val="0"/>
          <w:numId w:val="0"/>
        </w:numPr>
        <w:spacing w:before="0" w:after="0" w:line="269" w:lineRule="auto"/>
        <w:ind w:left="0" w:right="0" w:firstLine="0"/>
        <w:jc w:val="center"/>
        <w:outlineLvl w:val="2"/>
        <w:rPr>
          <w:rFonts w:ascii="Times New Roman" w:eastAsia="Times New Roman" w:hAnsi="Times New Roman" w:cs="Times New Roman"/>
          <w:b w:val="0"/>
          <w:i w:val="0"/>
          <w:sz w:val="20"/>
        </w:rPr>
      </w:pPr>
      <w:bookmarkStart w:id="21" w:name="Section22"/>
      <w:bookmarkEnd w:id="21"/>
      <w:r>
        <w:rPr>
          <w:rFonts w:ascii="Times New Roman" w:eastAsia="Times New Roman" w:hAnsi="Times New Roman" w:cs="Times New Roman"/>
          <w:b/>
          <w:i w:val="0"/>
          <w:sz w:val="20"/>
        </w:rPr>
        <w:t>REPORT OF INDEPENDENT REGISTERED PUBLIC ACCOUNTING FIRM</w:t>
      </w:r>
    </w:p>
    <w:p>
      <w:pPr>
        <w:keepNext w:val="0"/>
        <w:keepLines/>
        <w:pageBreakBefore w:val="0"/>
        <w:widowControl w:val="0"/>
        <w:numPr>
          <w:ilvl w:val="0"/>
          <w:numId w:val="0"/>
        </w:numPr>
        <w:spacing w:before="0" w:after="0" w:line="276"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To the Stockholders and Board of Directors of Asure Software, Inc. </w:t>
      </w:r>
    </w:p>
    <w:p>
      <w:pPr>
        <w:keepNext w:val="0"/>
        <w:keepLines/>
        <w:pageBreakBefore w:val="0"/>
        <w:widowControl w:val="0"/>
        <w:numPr>
          <w:ilvl w:val="0"/>
          <w:numId w:val="0"/>
        </w:numPr>
        <w:spacing w:before="0" w:after="0" w:line="269" w:lineRule="auto"/>
        <w:ind w:left="0" w:right="0" w:firstLine="0"/>
        <w:jc w:val="both"/>
        <w:outlineLvl w:val="9"/>
        <w:rPr>
          <w:rFonts w:ascii="Times New Roman" w:eastAsia="Times New Roman" w:hAnsi="Times New Roman" w:cs="Times New Roman"/>
          <w:b w:val="0"/>
          <w:i w:val="0"/>
          <w:sz w:val="24"/>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Opinion on the Financial Statements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have audited the accompanying consolidated balance sheet of Asure Software, Inc. (the “Company”) as of December 31, 2024, the related consolidated statements of comprehensive loss, changes in stockholders’ equity and cash flows for the year ended December 31, 2024, and the related notes</w:t>
      </w:r>
      <w:r>
        <w:rPr>
          <w:rFonts w:ascii="Times New Roman" w:eastAsia="Times New Roman" w:hAnsi="Times New Roman" w:cs="Times New Roman"/>
          <w:b/>
          <w:i w:val="0"/>
          <w:sz w:val="20"/>
        </w:rPr>
        <w:t xml:space="preserve"> </w:t>
      </w:r>
      <w:r>
        <w:rPr>
          <w:rFonts w:ascii="Times New Roman" w:eastAsia="Times New Roman" w:hAnsi="Times New Roman" w:cs="Times New Roman"/>
          <w:b w:val="0"/>
          <w:i w:val="0"/>
          <w:sz w:val="20"/>
        </w:rPr>
        <w:t xml:space="preserve">(collectively referred to as the “financial statements”).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In our opinion, the financial statements present fairly, in all material respects, the financial position of the Company as of December 31, 2024, and the results of its operations and its cash flows for the year ended December 31, 2024, in conformity with accounting principles generally accepted in the United States of America.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Basis for Opinion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These financial statements are the responsibility of the Company's management. Our responsibility is to express an opinion on the Company's financial statements based on our audit. We are a public accounting firm registered with the PCAOB and are required to be independent with respect to the Company in accordance with the U.S. federal securities laws and the applicable rules and regulations of the Securities and Exchange Commission and the PCAOB.</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conducted our audit in accordance with the standards of the PCAOB. Those standards require that we plan and perform the audit to obtain reasonable assurance about whether the financial statements are free of material misstatement, whether due to error or fraud. Our audit included performing procedures to assess the risks of material misstatement of the financial statements, whether due to error or fraud, and performing procedures that respond to those risks. Such procedures included examining, on a test basis, evidence regarding the amounts and disclosures in the financial statements. Our audit also included evaluating the accounting principles used and significant estimates made by management, as well as evaluating the overall presentation of the financial statements. We believe that our audit provides a reasonable basis for our opinion.</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highlight w:val="yellow"/>
          <w:u w:val="none"/>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 Marcum LLP</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Marcum LLP</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have served as the Company’s auditor from 2016 to 2025.</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Los Angeles, California</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highlight w:val="yellow"/>
          <w:u w:val="none"/>
        </w:rPr>
      </w:pPr>
      <w:r>
        <w:rPr>
          <w:rFonts w:ascii="Times New Roman" w:eastAsia="Times New Roman" w:hAnsi="Times New Roman" w:cs="Times New Roman"/>
          <w:b w:val="0"/>
          <w:i w:val="0"/>
          <w:sz w:val="20"/>
        </w:rPr>
        <w:t>March 6, 2025</w:t>
      </w:r>
    </w:p>
    <w:p>
      <w:pPr>
        <w:keepNext w:val="0"/>
        <w:keepLines/>
        <w:pageBreakBefore w:val="0"/>
        <w:widowControl w:val="0"/>
        <w:numPr>
          <w:ilvl w:val="0"/>
          <w:numId w:val="0"/>
        </w:numPr>
        <w:spacing w:before="0" w:after="0" w:line="288" w:lineRule="auto"/>
        <w:ind w:left="0" w:right="0" w:firstLine="0"/>
        <w:jc w:val="both"/>
        <w:outlineLvl w:val="9"/>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i w:val="0"/>
          <w:sz w:val="20"/>
        </w:rPr>
      </w:pPr>
      <w:bookmarkStart w:id="22" w:name="Section23"/>
      <w:bookmarkEnd w:id="22"/>
      <w:r>
        <w:rPr>
          <w:rFonts w:ascii="Times New Roman" w:eastAsia="Times New Roman" w:hAnsi="Times New Roman" w:cs="Times New Roman"/>
          <w:b/>
          <w:i w:val="0"/>
          <w:sz w:val="20"/>
        </w:rPr>
        <w:t>ASURE SOFTWARE,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CONSOLIDATED BALANCE SHEETS</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 except per share amounts)</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305"/>
        <w:gridCol w:w="1440"/>
        <w:gridCol w:w="75"/>
        <w:gridCol w:w="1440"/>
      </w:tblGrid>
      <w:tr>
        <w:tblPrEx>
          <w:tblW w:w="10260" w:type="dxa"/>
          <w:tblInd w:w="0" w:type="dxa"/>
          <w:tblLayout w:type="fixed"/>
        </w:tblPrEx>
        <w:trPr>
          <w:cantSplit/>
          <w:trHeight w:hRule="exact" w:val="240"/>
        </w:trPr>
        <w:tc>
          <w:tcPr>
            <w:tcW w:w="73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December 31, 2025</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December 31, 2024</w:t>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i w:val="0"/>
                <w:color w:val="000000"/>
                <w:sz w:val="16"/>
                <w:u w:val="none"/>
              </w:rPr>
              <w:t>ASSETS</w:t>
            </w:r>
          </w:p>
        </w:tc>
        <w:tc>
          <w:tcPr>
            <w:tcW w:w="14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Current assets:</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Cash and cash equivalents</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1"/>
                <w:tab w:val="left" w:pos="1372"/>
              </w:tabs>
              <w:spacing w:before="53" w:after="30" w:line="288" w:lineRule="auto"/>
              <w:jc w:val="right"/>
            </w:pPr>
            <w:r>
              <w:rPr>
                <w:rFonts w:ascii="Times New Roman" w:eastAsia="Times New Roman" w:hAnsi="Times New Roman" w:cs="Times New Roman"/>
                <w:b w:val="0"/>
                <w:i w:val="0"/>
                <w:color w:val="000000"/>
                <w:sz w:val="16"/>
                <w:u w:val="none"/>
              </w:rPr>
              <w:t>$</w:t>
              <w:tab/>
              <w:t>25,244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1"/>
                <w:tab w:val="left" w:pos="1372"/>
              </w:tabs>
              <w:spacing w:before="53" w:after="30" w:line="288" w:lineRule="auto"/>
              <w:jc w:val="right"/>
            </w:pPr>
            <w:r>
              <w:rPr>
                <w:rFonts w:ascii="Times New Roman" w:eastAsia="Times New Roman" w:hAnsi="Times New Roman" w:cs="Times New Roman"/>
                <w:b w:val="0"/>
                <w:i w:val="0"/>
                <w:color w:val="000000"/>
                <w:sz w:val="16"/>
                <w:u w:val="none"/>
              </w:rPr>
              <w:t>$</w:t>
              <w:tab/>
              <w:t>21,425</w:t>
              <w:tab/>
            </w:r>
          </w:p>
        </w:tc>
      </w:tr>
      <w:tr>
        <w:tblPrEx>
          <w:tblW w:w="10260" w:type="dxa"/>
          <w:tblInd w:w="0" w:type="dxa"/>
          <w:tblLayout w:type="fixed"/>
        </w:tblPrEx>
        <w:trPr>
          <w:cantSplit/>
          <w:trHeight w:hRule="exact" w:val="435"/>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53" w:after="30" w:line="288" w:lineRule="auto"/>
              <w:ind w:left="480" w:right="0" w:firstLine="0"/>
              <w:jc w:val="left"/>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Accounts receivable, net of allowance for credit losses of $7,206 and $6,328 at December 31, 2025, and December 31, 2024, respectively</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1"/>
                <w:tab w:val="left" w:pos="1372"/>
              </w:tabs>
              <w:spacing w:before="53" w:after="30" w:line="288" w:lineRule="auto"/>
              <w:jc w:val="right"/>
            </w:pPr>
            <w:r>
              <w:rPr>
                <w:rFonts w:ascii="Times New Roman" w:eastAsia="Times New Roman" w:hAnsi="Times New Roman" w:cs="Times New Roman"/>
                <w:b w:val="0"/>
                <w:i w:val="0"/>
                <w:color w:val="000000"/>
                <w:sz w:val="16"/>
                <w:u w:val="none"/>
              </w:rPr>
              <w:tab/>
              <w:t>15,859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1"/>
                <w:tab w:val="left" w:pos="1372"/>
              </w:tabs>
              <w:spacing w:before="53" w:after="30" w:line="288" w:lineRule="auto"/>
              <w:jc w:val="right"/>
            </w:pPr>
            <w:r>
              <w:rPr>
                <w:rFonts w:ascii="Times New Roman" w:eastAsia="Times New Roman" w:hAnsi="Times New Roman" w:cs="Times New Roman"/>
                <w:b w:val="0"/>
                <w:i w:val="0"/>
                <w:color w:val="000000"/>
                <w:sz w:val="16"/>
                <w:u w:val="none"/>
              </w:rPr>
              <w:tab/>
              <w:t>18,154</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Inventory</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2,826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81"/>
                <w:tab w:val="left" w:pos="1372"/>
              </w:tabs>
              <w:spacing w:before="53" w:after="30" w:line="288" w:lineRule="auto"/>
              <w:jc w:val="right"/>
            </w:pPr>
            <w:r>
              <w:rPr>
                <w:rFonts w:ascii="Times New Roman" w:eastAsia="Times New Roman" w:hAnsi="Times New Roman" w:cs="Times New Roman"/>
                <w:b w:val="0"/>
                <w:i w:val="0"/>
                <w:color w:val="000000"/>
                <w:sz w:val="16"/>
                <w:u w:val="none"/>
              </w:rPr>
              <w:tab/>
              <w:t>195</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Prepaid expenses and other current assets</w:t>
            </w: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6,329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4,888</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current assets before funds held for clients</w:t>
            </w:r>
          </w:p>
        </w:tc>
        <w:tc>
          <w:tcPr>
            <w:tcW w:w="14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1"/>
                <w:tab w:val="left" w:pos="1372"/>
              </w:tabs>
              <w:spacing w:before="33" w:after="30" w:line="288" w:lineRule="auto"/>
              <w:jc w:val="right"/>
            </w:pPr>
            <w:r>
              <w:rPr>
                <w:rFonts w:ascii="Times New Roman" w:eastAsia="Times New Roman" w:hAnsi="Times New Roman" w:cs="Times New Roman"/>
                <w:b w:val="0"/>
                <w:i w:val="0"/>
                <w:color w:val="000000"/>
                <w:sz w:val="16"/>
                <w:u w:val="none"/>
              </w:rPr>
              <w:tab/>
              <w:t>50,258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1"/>
                <w:tab w:val="left" w:pos="1372"/>
              </w:tabs>
              <w:spacing w:before="33" w:after="30" w:line="288" w:lineRule="auto"/>
              <w:jc w:val="right"/>
            </w:pPr>
            <w:r>
              <w:rPr>
                <w:rFonts w:ascii="Times New Roman" w:eastAsia="Times New Roman" w:hAnsi="Times New Roman" w:cs="Times New Roman"/>
                <w:b w:val="0"/>
                <w:i w:val="0"/>
                <w:color w:val="000000"/>
                <w:sz w:val="16"/>
                <w:u w:val="none"/>
              </w:rPr>
              <w:tab/>
              <w:t>44,662</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Funds held for clients</w:t>
            </w: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1"/>
                <w:tab w:val="left" w:pos="1372"/>
              </w:tabs>
              <w:spacing w:before="53" w:after="30" w:line="288" w:lineRule="auto"/>
              <w:jc w:val="right"/>
            </w:pPr>
            <w:r>
              <w:rPr>
                <w:rFonts w:ascii="Times New Roman" w:eastAsia="Times New Roman" w:hAnsi="Times New Roman" w:cs="Times New Roman"/>
                <w:b w:val="0"/>
                <w:i w:val="0"/>
                <w:color w:val="000000"/>
                <w:sz w:val="16"/>
                <w:u w:val="none"/>
              </w:rPr>
              <w:tab/>
              <w:t>228,111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1"/>
                <w:tab w:val="left" w:pos="1372"/>
              </w:tabs>
              <w:spacing w:before="53" w:after="30" w:line="288" w:lineRule="auto"/>
              <w:jc w:val="right"/>
            </w:pPr>
            <w:r>
              <w:rPr>
                <w:rFonts w:ascii="Times New Roman" w:eastAsia="Times New Roman" w:hAnsi="Times New Roman" w:cs="Times New Roman"/>
                <w:b w:val="0"/>
                <w:i w:val="0"/>
                <w:color w:val="000000"/>
                <w:sz w:val="16"/>
                <w:u w:val="none"/>
              </w:rPr>
              <w:tab/>
              <w:t>192,615</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current assets</w:t>
            </w:r>
          </w:p>
        </w:tc>
        <w:tc>
          <w:tcPr>
            <w:tcW w:w="14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1"/>
                <w:tab w:val="left" w:pos="1372"/>
              </w:tabs>
              <w:spacing w:before="33" w:after="30" w:line="288" w:lineRule="auto"/>
              <w:jc w:val="right"/>
            </w:pPr>
            <w:r>
              <w:rPr>
                <w:rFonts w:ascii="Times New Roman" w:eastAsia="Times New Roman" w:hAnsi="Times New Roman" w:cs="Times New Roman"/>
                <w:b w:val="0"/>
                <w:i w:val="0"/>
                <w:color w:val="000000"/>
                <w:sz w:val="16"/>
                <w:u w:val="none"/>
              </w:rPr>
              <w:tab/>
              <w:t>278,369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1"/>
                <w:tab w:val="left" w:pos="1372"/>
              </w:tabs>
              <w:spacing w:before="33" w:after="30" w:line="288" w:lineRule="auto"/>
              <w:jc w:val="right"/>
            </w:pPr>
            <w:r>
              <w:rPr>
                <w:rFonts w:ascii="Times New Roman" w:eastAsia="Times New Roman" w:hAnsi="Times New Roman" w:cs="Times New Roman"/>
                <w:b w:val="0"/>
                <w:i w:val="0"/>
                <w:color w:val="000000"/>
                <w:sz w:val="16"/>
                <w:u w:val="none"/>
              </w:rPr>
              <w:tab/>
              <w:t>237,277</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Property and equipment, net</w:t>
            </w:r>
          </w:p>
        </w:tc>
        <w:tc>
          <w:tcPr>
            <w:tcW w:w="14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1"/>
                <w:tab w:val="left" w:pos="1372"/>
              </w:tabs>
              <w:spacing w:before="33" w:after="30" w:line="288" w:lineRule="auto"/>
              <w:jc w:val="right"/>
            </w:pPr>
            <w:r>
              <w:rPr>
                <w:rFonts w:ascii="Times New Roman" w:eastAsia="Times New Roman" w:hAnsi="Times New Roman" w:cs="Times New Roman"/>
                <w:b w:val="0"/>
                <w:i w:val="0"/>
                <w:color w:val="000000"/>
                <w:sz w:val="16"/>
                <w:u w:val="none"/>
              </w:rPr>
              <w:tab/>
              <w:t>27,810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1"/>
                <w:tab w:val="left" w:pos="1372"/>
              </w:tabs>
              <w:spacing w:before="33" w:after="30" w:line="288" w:lineRule="auto"/>
              <w:jc w:val="right"/>
            </w:pPr>
            <w:r>
              <w:rPr>
                <w:rFonts w:ascii="Times New Roman" w:eastAsia="Times New Roman" w:hAnsi="Times New Roman" w:cs="Times New Roman"/>
                <w:b w:val="0"/>
                <w:i w:val="0"/>
                <w:color w:val="000000"/>
                <w:sz w:val="16"/>
                <w:u w:val="none"/>
              </w:rPr>
              <w:tab/>
              <w:t>19,669</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Goodwill</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1"/>
                <w:tab w:val="left" w:pos="1372"/>
              </w:tabs>
              <w:spacing w:before="53" w:after="30" w:line="288" w:lineRule="auto"/>
              <w:jc w:val="right"/>
            </w:pPr>
            <w:r>
              <w:rPr>
                <w:rFonts w:ascii="Times New Roman" w:eastAsia="Times New Roman" w:hAnsi="Times New Roman" w:cs="Times New Roman"/>
                <w:b w:val="0"/>
                <w:i w:val="0"/>
                <w:color w:val="000000"/>
                <w:sz w:val="16"/>
                <w:u w:val="none"/>
              </w:rPr>
              <w:tab/>
              <w:t>115,759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81"/>
                <w:tab w:val="left" w:pos="1372"/>
              </w:tabs>
              <w:spacing w:before="53" w:after="30" w:line="288" w:lineRule="auto"/>
              <w:jc w:val="right"/>
            </w:pPr>
            <w:r>
              <w:rPr>
                <w:rFonts w:ascii="Times New Roman" w:eastAsia="Times New Roman" w:hAnsi="Times New Roman" w:cs="Times New Roman"/>
                <w:b w:val="0"/>
                <w:i w:val="0"/>
                <w:color w:val="000000"/>
                <w:sz w:val="16"/>
                <w:u w:val="none"/>
              </w:rPr>
              <w:tab/>
              <w:t>94,724</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Intangible assets, net</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1"/>
                <w:tab w:val="left" w:pos="1372"/>
              </w:tabs>
              <w:spacing w:before="53" w:after="30" w:line="288" w:lineRule="auto"/>
              <w:jc w:val="right"/>
            </w:pPr>
            <w:r>
              <w:rPr>
                <w:rFonts w:ascii="Times New Roman" w:eastAsia="Times New Roman" w:hAnsi="Times New Roman" w:cs="Times New Roman"/>
                <w:b w:val="0"/>
                <w:i w:val="0"/>
                <w:color w:val="000000"/>
                <w:sz w:val="16"/>
                <w:u w:val="none"/>
              </w:rPr>
              <w:tab/>
              <w:t>87,911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1"/>
                <w:tab w:val="left" w:pos="1372"/>
              </w:tabs>
              <w:spacing w:before="53" w:after="30" w:line="288" w:lineRule="auto"/>
              <w:jc w:val="right"/>
            </w:pPr>
            <w:r>
              <w:rPr>
                <w:rFonts w:ascii="Times New Roman" w:eastAsia="Times New Roman" w:hAnsi="Times New Roman" w:cs="Times New Roman"/>
                <w:b w:val="0"/>
                <w:i w:val="0"/>
                <w:color w:val="000000"/>
                <w:sz w:val="16"/>
                <w:u w:val="none"/>
              </w:rPr>
              <w:tab/>
              <w:t>69,114</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Operating lease assets, net</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6,028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4,041</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Other assets, net</w:t>
            </w: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81"/>
                <w:tab w:val="left" w:pos="1372"/>
              </w:tabs>
              <w:spacing w:before="53" w:after="30" w:line="288" w:lineRule="auto"/>
              <w:jc w:val="right"/>
            </w:pPr>
            <w:r>
              <w:rPr>
                <w:rFonts w:ascii="Times New Roman" w:eastAsia="Times New Roman" w:hAnsi="Times New Roman" w:cs="Times New Roman"/>
                <w:b w:val="0"/>
                <w:i w:val="0"/>
                <w:color w:val="000000"/>
                <w:sz w:val="16"/>
                <w:u w:val="none"/>
              </w:rPr>
              <w:tab/>
              <w:t>15,542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81"/>
                <w:tab w:val="left" w:pos="1372"/>
              </w:tabs>
              <w:spacing w:before="53" w:after="30" w:line="288" w:lineRule="auto"/>
              <w:jc w:val="right"/>
            </w:pPr>
            <w:r>
              <w:rPr>
                <w:rFonts w:ascii="Times New Roman" w:eastAsia="Times New Roman" w:hAnsi="Times New Roman" w:cs="Times New Roman"/>
                <w:b w:val="0"/>
                <w:i w:val="0"/>
                <w:color w:val="000000"/>
                <w:sz w:val="16"/>
                <w:u w:val="none"/>
              </w:rPr>
              <w:tab/>
              <w:t>11,813</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Total assets</w:t>
            </w:r>
          </w:p>
        </w:tc>
        <w:tc>
          <w:tcPr>
            <w:tcW w:w="14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01"/>
                <w:tab w:val="left" w:pos="1372"/>
              </w:tabs>
              <w:spacing w:before="33" w:after="30" w:line="288" w:lineRule="auto"/>
              <w:jc w:val="right"/>
            </w:pPr>
            <w:r>
              <w:rPr>
                <w:rFonts w:ascii="Times New Roman" w:eastAsia="Times New Roman" w:hAnsi="Times New Roman" w:cs="Times New Roman"/>
                <w:b w:val="0"/>
                <w:i w:val="0"/>
                <w:color w:val="000000"/>
                <w:sz w:val="16"/>
                <w:u w:val="none"/>
              </w:rPr>
              <w:t>$</w:t>
              <w:tab/>
              <w:t>531,419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01"/>
                <w:tab w:val="left" w:pos="1372"/>
              </w:tabs>
              <w:spacing w:before="33" w:after="30" w:line="288" w:lineRule="auto"/>
              <w:jc w:val="right"/>
            </w:pPr>
            <w:r>
              <w:rPr>
                <w:rFonts w:ascii="Times New Roman" w:eastAsia="Times New Roman" w:hAnsi="Times New Roman" w:cs="Times New Roman"/>
                <w:b w:val="0"/>
                <w:i w:val="0"/>
                <w:color w:val="000000"/>
                <w:sz w:val="16"/>
                <w:u w:val="none"/>
              </w:rPr>
              <w:t>$</w:t>
              <w:tab/>
              <w:t>436,638</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0" w:after="30" w:line="288" w:lineRule="auto"/>
              <w:ind w:left="0" w:right="0" w:firstLine="0"/>
              <w:jc w:val="left"/>
              <w:outlineLvl w:val="9"/>
              <w:rPr>
                <w:rFonts w:ascii="Times New Roman" w:eastAsia="Times New Roman" w:hAnsi="Times New Roman" w:cs="Times New Roman"/>
                <w:b/>
                <w:i w:val="0"/>
                <w:sz w:val="16"/>
              </w:rPr>
            </w:pPr>
            <w:r>
              <w:rPr>
                <w:rFonts w:ascii="Times New Roman" w:eastAsia="Times New Roman" w:hAnsi="Times New Roman" w:cs="Times New Roman"/>
                <w:b/>
                <w:i w:val="0"/>
                <w:sz w:val="16"/>
              </w:rPr>
              <w:t>LIABILITIES AND STOCKHOLDERS</w:t>
            </w:r>
            <w:r>
              <w:rPr>
                <w:rFonts w:ascii="Times New Roman" w:eastAsia="Times New Roman" w:hAnsi="Times New Roman" w:cs="Times New Roman"/>
                <w:b w:val="0"/>
                <w:i w:val="0"/>
                <w:sz w:val="16"/>
              </w:rPr>
              <w:t>’</w:t>
            </w:r>
            <w:r>
              <w:rPr>
                <w:rFonts w:ascii="Times New Roman" w:eastAsia="Times New Roman" w:hAnsi="Times New Roman" w:cs="Times New Roman"/>
                <w:b/>
                <w:i w:val="0"/>
                <w:sz w:val="16"/>
              </w:rPr>
              <w:t xml:space="preserve"> EQUITY</w:t>
            </w:r>
          </w:p>
        </w:tc>
        <w:tc>
          <w:tcPr>
            <w:tcW w:w="144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Current liabilities:</w:t>
            </w:r>
          </w:p>
        </w:tc>
        <w:tc>
          <w:tcPr>
            <w:tcW w:w="14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Current portion of notes payable</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w:t>
              <w:tab/>
              <w:t>4,344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w:t>
              <w:tab/>
              <w:t>7,008</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Accounts payable</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2,174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1,364</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Accrued compensation and benefits</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4,723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4,485</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Lease liabilities, current</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1,956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1,438</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Other accrued liabilities</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6,422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6,600</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Deferred revenue</w:t>
            </w: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81"/>
                <w:tab w:val="left" w:pos="1372"/>
              </w:tabs>
              <w:spacing w:before="53" w:after="30" w:line="288" w:lineRule="auto"/>
              <w:jc w:val="right"/>
            </w:pPr>
            <w:r>
              <w:rPr>
                <w:rFonts w:ascii="Times New Roman" w:eastAsia="Times New Roman" w:hAnsi="Times New Roman" w:cs="Times New Roman"/>
                <w:b w:val="0"/>
                <w:i w:val="0"/>
                <w:color w:val="000000"/>
                <w:sz w:val="16"/>
                <w:u w:val="none"/>
              </w:rPr>
              <w:tab/>
              <w:t>11,622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8,363</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current liabilities before client fund obligations</w:t>
            </w:r>
          </w:p>
        </w:tc>
        <w:tc>
          <w:tcPr>
            <w:tcW w:w="14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1"/>
                <w:tab w:val="left" w:pos="1372"/>
              </w:tabs>
              <w:spacing w:before="33" w:after="30" w:line="288" w:lineRule="auto"/>
              <w:jc w:val="right"/>
            </w:pPr>
            <w:r>
              <w:rPr>
                <w:rFonts w:ascii="Times New Roman" w:eastAsia="Times New Roman" w:hAnsi="Times New Roman" w:cs="Times New Roman"/>
                <w:b w:val="0"/>
                <w:i w:val="0"/>
                <w:color w:val="000000"/>
                <w:sz w:val="16"/>
                <w:u w:val="none"/>
              </w:rPr>
              <w:tab/>
              <w:t>31,241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1"/>
                <w:tab w:val="left" w:pos="1372"/>
              </w:tabs>
              <w:spacing w:before="33" w:after="30" w:line="288" w:lineRule="auto"/>
              <w:jc w:val="right"/>
            </w:pPr>
            <w:r>
              <w:rPr>
                <w:rFonts w:ascii="Times New Roman" w:eastAsia="Times New Roman" w:hAnsi="Times New Roman" w:cs="Times New Roman"/>
                <w:b w:val="0"/>
                <w:i w:val="0"/>
                <w:color w:val="000000"/>
                <w:sz w:val="16"/>
                <w:u w:val="none"/>
              </w:rPr>
              <w:tab/>
              <w:t>29,258</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Client fund obligations</w:t>
            </w: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1"/>
                <w:tab w:val="left" w:pos="1372"/>
              </w:tabs>
              <w:spacing w:before="53" w:after="30" w:line="288" w:lineRule="auto"/>
              <w:jc w:val="right"/>
            </w:pPr>
            <w:r>
              <w:rPr>
                <w:rFonts w:ascii="Times New Roman" w:eastAsia="Times New Roman" w:hAnsi="Times New Roman" w:cs="Times New Roman"/>
                <w:b w:val="0"/>
                <w:i w:val="0"/>
                <w:color w:val="000000"/>
                <w:sz w:val="16"/>
                <w:u w:val="none"/>
              </w:rPr>
              <w:tab/>
              <w:t>228,482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1"/>
                <w:tab w:val="left" w:pos="1372"/>
              </w:tabs>
              <w:spacing w:before="53" w:after="30" w:line="288" w:lineRule="auto"/>
              <w:jc w:val="right"/>
            </w:pPr>
            <w:r>
              <w:rPr>
                <w:rFonts w:ascii="Times New Roman" w:eastAsia="Times New Roman" w:hAnsi="Times New Roman" w:cs="Times New Roman"/>
                <w:b w:val="0"/>
                <w:i w:val="0"/>
                <w:color w:val="000000"/>
                <w:sz w:val="16"/>
                <w:u w:val="none"/>
              </w:rPr>
              <w:tab/>
              <w:t>194,378</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current liabilities</w:t>
            </w:r>
          </w:p>
        </w:tc>
        <w:tc>
          <w:tcPr>
            <w:tcW w:w="14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1"/>
                <w:tab w:val="left" w:pos="1372"/>
              </w:tabs>
              <w:spacing w:before="33" w:after="30" w:line="288" w:lineRule="auto"/>
              <w:jc w:val="right"/>
            </w:pPr>
            <w:r>
              <w:rPr>
                <w:rFonts w:ascii="Times New Roman" w:eastAsia="Times New Roman" w:hAnsi="Times New Roman" w:cs="Times New Roman"/>
                <w:b w:val="0"/>
                <w:i w:val="0"/>
                <w:color w:val="000000"/>
                <w:sz w:val="16"/>
                <w:u w:val="none"/>
              </w:rPr>
              <w:tab/>
              <w:t>259,723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1"/>
                <w:tab w:val="left" w:pos="1372"/>
              </w:tabs>
              <w:spacing w:before="33" w:after="30" w:line="288" w:lineRule="auto"/>
              <w:jc w:val="right"/>
            </w:pPr>
            <w:r>
              <w:rPr>
                <w:rFonts w:ascii="Times New Roman" w:eastAsia="Times New Roman" w:hAnsi="Times New Roman" w:cs="Times New Roman"/>
                <w:b w:val="0"/>
                <w:i w:val="0"/>
                <w:color w:val="000000"/>
                <w:sz w:val="16"/>
                <w:u w:val="none"/>
              </w:rPr>
              <w:tab/>
              <w:t>223,636</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Long-term liabilities:</w:t>
            </w:r>
          </w:p>
        </w:tc>
        <w:tc>
          <w:tcPr>
            <w:tcW w:w="14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Deferred revenue</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1,909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3,430</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Deferred tax liability</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3,264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2,612</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Notes payable, net of current portion</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81"/>
                <w:tab w:val="left" w:pos="1372"/>
              </w:tabs>
              <w:spacing w:before="53" w:after="30" w:line="288" w:lineRule="auto"/>
              <w:jc w:val="right"/>
            </w:pPr>
            <w:r>
              <w:rPr>
                <w:rFonts w:ascii="Times New Roman" w:eastAsia="Times New Roman" w:hAnsi="Times New Roman" w:cs="Times New Roman"/>
                <w:b w:val="0"/>
                <w:i w:val="0"/>
                <w:color w:val="000000"/>
                <w:sz w:val="16"/>
                <w:u w:val="none"/>
              </w:rPr>
              <w:tab/>
              <w:t>63,282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5,709</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Lease liabilities, noncurrent</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5,221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1"/>
                <w:tab w:val="left" w:pos="1372"/>
              </w:tabs>
              <w:spacing w:before="53" w:after="30" w:line="288" w:lineRule="auto"/>
              <w:jc w:val="right"/>
            </w:pPr>
            <w:r>
              <w:rPr>
                <w:rFonts w:ascii="Times New Roman" w:eastAsia="Times New Roman" w:hAnsi="Times New Roman" w:cs="Times New Roman"/>
                <w:b w:val="0"/>
                <w:i w:val="0"/>
                <w:color w:val="000000"/>
                <w:sz w:val="16"/>
                <w:u w:val="none"/>
              </w:rPr>
              <w:tab/>
              <w:t>3,578</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Other liabilities</w:t>
            </w: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81"/>
                <w:tab w:val="left" w:pos="1372"/>
              </w:tabs>
              <w:spacing w:before="53" w:after="30" w:line="288" w:lineRule="auto"/>
              <w:jc w:val="right"/>
            </w:pPr>
            <w:r>
              <w:rPr>
                <w:rFonts w:ascii="Times New Roman" w:eastAsia="Times New Roman" w:hAnsi="Times New Roman" w:cs="Times New Roman"/>
                <w:b w:val="0"/>
                <w:i w:val="0"/>
                <w:color w:val="000000"/>
                <w:sz w:val="16"/>
                <w:u w:val="none"/>
              </w:rPr>
              <w:tab/>
              <w:t>224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81"/>
                <w:tab w:val="left" w:pos="1372"/>
              </w:tabs>
              <w:spacing w:before="53" w:after="30" w:line="288" w:lineRule="auto"/>
              <w:jc w:val="right"/>
            </w:pPr>
            <w:r>
              <w:rPr>
                <w:rFonts w:ascii="Times New Roman" w:eastAsia="Times New Roman" w:hAnsi="Times New Roman" w:cs="Times New Roman"/>
                <w:b w:val="0"/>
                <w:i w:val="0"/>
                <w:color w:val="000000"/>
                <w:sz w:val="16"/>
                <w:u w:val="none"/>
              </w:rPr>
              <w:tab/>
              <w:t>358</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long-term liabilities</w:t>
            </w:r>
          </w:p>
        </w:tc>
        <w:tc>
          <w:tcPr>
            <w:tcW w:w="14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81"/>
                <w:tab w:val="left" w:pos="1372"/>
              </w:tabs>
              <w:spacing w:before="33" w:after="30" w:line="288" w:lineRule="auto"/>
              <w:jc w:val="right"/>
            </w:pPr>
            <w:r>
              <w:rPr>
                <w:rFonts w:ascii="Times New Roman" w:eastAsia="Times New Roman" w:hAnsi="Times New Roman" w:cs="Times New Roman"/>
                <w:b w:val="0"/>
                <w:i w:val="0"/>
                <w:color w:val="000000"/>
                <w:sz w:val="16"/>
                <w:u w:val="none"/>
              </w:rPr>
              <w:tab/>
              <w:t>73,900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81"/>
                <w:tab w:val="left" w:pos="1372"/>
              </w:tabs>
              <w:spacing w:before="33" w:after="30" w:line="288" w:lineRule="auto"/>
              <w:jc w:val="right"/>
            </w:pPr>
            <w:r>
              <w:rPr>
                <w:rFonts w:ascii="Times New Roman" w:eastAsia="Times New Roman" w:hAnsi="Times New Roman" w:cs="Times New Roman"/>
                <w:b w:val="0"/>
                <w:i w:val="0"/>
                <w:color w:val="000000"/>
                <w:sz w:val="16"/>
                <w:u w:val="none"/>
              </w:rPr>
              <w:tab/>
              <w:t>15,687</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liabilities</w:t>
            </w:r>
          </w:p>
        </w:tc>
        <w:tc>
          <w:tcPr>
            <w:tcW w:w="14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1"/>
                <w:tab w:val="left" w:pos="1372"/>
              </w:tabs>
              <w:spacing w:before="33" w:after="30" w:line="288" w:lineRule="auto"/>
              <w:jc w:val="right"/>
            </w:pPr>
            <w:r>
              <w:rPr>
                <w:rFonts w:ascii="Times New Roman" w:eastAsia="Times New Roman" w:hAnsi="Times New Roman" w:cs="Times New Roman"/>
                <w:b w:val="0"/>
                <w:i w:val="0"/>
                <w:color w:val="000000"/>
                <w:sz w:val="16"/>
                <w:u w:val="none"/>
              </w:rPr>
              <w:tab/>
              <w:t>333,623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1"/>
                <w:tab w:val="left" w:pos="1372"/>
              </w:tabs>
              <w:spacing w:before="33" w:after="30" w:line="288" w:lineRule="auto"/>
              <w:jc w:val="right"/>
            </w:pPr>
            <w:r>
              <w:rPr>
                <w:rFonts w:ascii="Times New Roman" w:eastAsia="Times New Roman" w:hAnsi="Times New Roman" w:cs="Times New Roman"/>
                <w:b w:val="0"/>
                <w:i w:val="0"/>
                <w:color w:val="000000"/>
                <w:sz w:val="16"/>
                <w:u w:val="none"/>
              </w:rPr>
              <w:tab/>
              <w:t>239,323</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Commitments and contingencies - Note 8</w:t>
            </w:r>
          </w:p>
        </w:tc>
        <w:tc>
          <w:tcPr>
            <w:tcW w:w="1440" w:type="dxa"/>
            <w:tcBorders>
              <w:top w:val="sing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33" w:after="30" w:line="288" w:lineRule="auto"/>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nil"/>
              <w:right w:val="nil"/>
            </w:tcBorders>
            <w:shd w:val="clear" w:color="auto" w:fill="CCEEFF"/>
            <w:tcMar>
              <w:top w:w="0" w:type="dxa"/>
              <w:left w:w="0" w:type="dxa"/>
              <w:bottom w:w="0" w:type="dxa"/>
              <w:right w:w="53" w:type="dxa"/>
            </w:tcMar>
            <w:vAlign w:val="bottom"/>
          </w:tcPr>
          <w:p>
            <w:pPr>
              <w:keepNext/>
              <w:pageBreakBefore w:val="0"/>
              <w:spacing w:before="33" w:after="30" w:line="288" w:lineRule="auto"/>
              <w:jc w:val="right"/>
            </w:pP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Stockholders’ equity:</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53" w:after="30" w:line="288" w:lineRule="auto"/>
              <w:ind w:left="480" w:right="0" w:firstLine="0"/>
              <w:jc w:val="left"/>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Preferred stock, $0.01 par value; 1,500 shares authorized; none issued or outstanding</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61"/>
                <w:tab w:val="left" w:pos="137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61"/>
                <w:tab w:val="left" w:pos="1372"/>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60" w:type="dxa"/>
          <w:tblInd w:w="0" w:type="dxa"/>
          <w:tblLayout w:type="fixed"/>
        </w:tblPrEx>
        <w:trPr>
          <w:cantSplit/>
          <w:trHeight w:hRule="exact" w:val="42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53" w:after="30" w:line="288" w:lineRule="auto"/>
              <w:ind w:left="480" w:right="0" w:firstLine="0"/>
              <w:jc w:val="left"/>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Common stock, $0.01 par value; 44,000 shares authorized; 28,076 and 26,671 shares issued, 28,076 and 26,671 shares outstanding at December 31, 2025, and December 31, 2024, respectively</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1"/>
                <w:tab w:val="left" w:pos="1372"/>
              </w:tabs>
              <w:spacing w:before="53" w:after="30" w:line="288" w:lineRule="auto"/>
              <w:jc w:val="right"/>
            </w:pPr>
            <w:r>
              <w:rPr>
                <w:rFonts w:ascii="Times New Roman" w:eastAsia="Times New Roman" w:hAnsi="Times New Roman" w:cs="Times New Roman"/>
                <w:b w:val="0"/>
                <w:i w:val="0"/>
                <w:color w:val="000000"/>
                <w:sz w:val="16"/>
                <w:u w:val="none"/>
              </w:rPr>
              <w:tab/>
              <w:t>281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81"/>
                <w:tab w:val="left" w:pos="1372"/>
              </w:tabs>
              <w:spacing w:before="53" w:after="30" w:line="288" w:lineRule="auto"/>
              <w:jc w:val="right"/>
            </w:pPr>
            <w:r>
              <w:rPr>
                <w:rFonts w:ascii="Times New Roman" w:eastAsia="Times New Roman" w:hAnsi="Times New Roman" w:cs="Times New Roman"/>
                <w:b w:val="0"/>
                <w:i w:val="0"/>
                <w:color w:val="000000"/>
                <w:sz w:val="16"/>
                <w:u w:val="none"/>
              </w:rPr>
              <w:tab/>
              <w:t>267</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53" w:after="30" w:line="288" w:lineRule="auto"/>
              <w:ind w:left="480" w:right="0" w:firstLine="0"/>
              <w:jc w:val="left"/>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Treasury stock at cost, zero</w:t>
            </w:r>
            <w:r>
              <w:rPr>
                <w:rFonts w:ascii="Times New Roman" w:eastAsia="Times New Roman" w:hAnsi="Times New Roman" w:cs="Times New Roman"/>
                <w:b w:val="0"/>
                <w:i w:val="0"/>
                <w:sz w:val="16"/>
                <w:vertAlign w:val="superscript"/>
              </w:rPr>
              <w:t>(1)</w:t>
            </w:r>
            <w:r>
              <w:rPr>
                <w:rFonts w:ascii="Times New Roman" w:eastAsia="Times New Roman" w:hAnsi="Times New Roman" w:cs="Times New Roman"/>
                <w:b w:val="0"/>
                <w:i w:val="0"/>
                <w:sz w:val="16"/>
              </w:rPr>
              <w:t xml:space="preserve">  shares at December 31, 2025, and December 31, 2024</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61"/>
                <w:tab w:val="left" w:pos="137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61"/>
                <w:tab w:val="left" w:pos="1372"/>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Additional paid-in capital</w:t>
            </w: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1"/>
                <w:tab w:val="left" w:pos="1372"/>
              </w:tabs>
              <w:spacing w:before="53" w:after="30" w:line="288" w:lineRule="auto"/>
              <w:jc w:val="right"/>
            </w:pPr>
            <w:r>
              <w:rPr>
                <w:rFonts w:ascii="Times New Roman" w:eastAsia="Times New Roman" w:hAnsi="Times New Roman" w:cs="Times New Roman"/>
                <w:b w:val="0"/>
                <w:i w:val="0"/>
                <w:color w:val="000000"/>
                <w:sz w:val="16"/>
                <w:u w:val="none"/>
              </w:rPr>
              <w:tab/>
              <w:t>517,432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1"/>
                <w:tab w:val="left" w:pos="1372"/>
              </w:tabs>
              <w:spacing w:before="53" w:after="30" w:line="288" w:lineRule="auto"/>
              <w:jc w:val="right"/>
            </w:pPr>
            <w:r>
              <w:rPr>
                <w:rFonts w:ascii="Times New Roman" w:eastAsia="Times New Roman" w:hAnsi="Times New Roman" w:cs="Times New Roman"/>
                <w:b w:val="0"/>
                <w:i w:val="0"/>
                <w:color w:val="000000"/>
                <w:sz w:val="16"/>
                <w:u w:val="none"/>
              </w:rPr>
              <w:tab/>
              <w:t>504,849</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Accumulated deficit</w:t>
            </w: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7"/>
              </w:tabs>
              <w:spacing w:before="53" w:after="30" w:line="288" w:lineRule="auto"/>
              <w:jc w:val="right"/>
            </w:pPr>
            <w:r>
              <w:rPr>
                <w:rFonts w:ascii="Times New Roman" w:eastAsia="Times New Roman" w:hAnsi="Times New Roman" w:cs="Times New Roman"/>
                <w:b w:val="0"/>
                <w:i w:val="0"/>
                <w:color w:val="000000"/>
                <w:sz w:val="16"/>
                <w:u w:val="none"/>
              </w:rPr>
              <w:tab/>
              <w:t>(320,352)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7"/>
              </w:tabs>
              <w:spacing w:before="53" w:after="30" w:line="288" w:lineRule="auto"/>
              <w:jc w:val="right"/>
            </w:pPr>
            <w:r>
              <w:rPr>
                <w:rFonts w:ascii="Times New Roman" w:eastAsia="Times New Roman" w:hAnsi="Times New Roman" w:cs="Times New Roman"/>
                <w:b w:val="0"/>
                <w:i w:val="0"/>
                <w:color w:val="000000"/>
                <w:sz w:val="16"/>
                <w:u w:val="none"/>
              </w:rPr>
              <w:tab/>
              <w:t>(307,226)</w:t>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480"/>
              <w:jc w:val="left"/>
            </w:pPr>
            <w:r>
              <w:rPr>
                <w:rFonts w:ascii="Times New Roman" w:eastAsia="Times New Roman" w:hAnsi="Times New Roman" w:cs="Times New Roman"/>
                <w:b w:val="0"/>
                <w:i w:val="0"/>
                <w:color w:val="000000"/>
                <w:sz w:val="16"/>
                <w:u w:val="none"/>
              </w:rPr>
              <w:t>Accumulated other comprehensive income (loss)</w:t>
            </w: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81"/>
                <w:tab w:val="left" w:pos="1372"/>
              </w:tabs>
              <w:spacing w:before="53" w:after="30" w:line="288" w:lineRule="auto"/>
              <w:jc w:val="right"/>
            </w:pPr>
            <w:r>
              <w:rPr>
                <w:rFonts w:ascii="Times New Roman" w:eastAsia="Times New Roman" w:hAnsi="Times New Roman" w:cs="Times New Roman"/>
                <w:b w:val="0"/>
                <w:i w:val="0"/>
                <w:color w:val="000000"/>
                <w:sz w:val="16"/>
                <w:u w:val="none"/>
              </w:rPr>
              <w:tab/>
              <w:t>435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07"/>
              </w:tabs>
              <w:spacing w:before="53" w:after="30" w:line="288" w:lineRule="auto"/>
              <w:jc w:val="right"/>
            </w:pPr>
            <w:r>
              <w:rPr>
                <w:rFonts w:ascii="Times New Roman" w:eastAsia="Times New Roman" w:hAnsi="Times New Roman" w:cs="Times New Roman"/>
                <w:b w:val="0"/>
                <w:i w:val="0"/>
                <w:color w:val="000000"/>
                <w:sz w:val="16"/>
                <w:u w:val="none"/>
              </w:rPr>
              <w:tab/>
              <w:t>(575)</w:t>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stockholders’ equity</w:t>
            </w:r>
          </w:p>
        </w:tc>
        <w:tc>
          <w:tcPr>
            <w:tcW w:w="14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1"/>
                <w:tab w:val="left" w:pos="1372"/>
              </w:tabs>
              <w:spacing w:before="33" w:after="30" w:line="288" w:lineRule="auto"/>
              <w:jc w:val="right"/>
            </w:pPr>
            <w:r>
              <w:rPr>
                <w:rFonts w:ascii="Times New Roman" w:eastAsia="Times New Roman" w:hAnsi="Times New Roman" w:cs="Times New Roman"/>
                <w:b w:val="0"/>
                <w:i w:val="0"/>
                <w:color w:val="000000"/>
                <w:sz w:val="16"/>
                <w:u w:val="none"/>
              </w:rPr>
              <w:tab/>
              <w:t>197,796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1"/>
                <w:tab w:val="left" w:pos="1372"/>
              </w:tabs>
              <w:spacing w:before="33" w:after="30" w:line="288" w:lineRule="auto"/>
              <w:jc w:val="right"/>
            </w:pPr>
            <w:r>
              <w:rPr>
                <w:rFonts w:ascii="Times New Roman" w:eastAsia="Times New Roman" w:hAnsi="Times New Roman" w:cs="Times New Roman"/>
                <w:b w:val="0"/>
                <w:i w:val="0"/>
                <w:color w:val="000000"/>
                <w:sz w:val="16"/>
                <w:u w:val="none"/>
              </w:rPr>
              <w:tab/>
              <w:t>197,315</w:t>
              <w:tab/>
            </w:r>
          </w:p>
        </w:tc>
      </w:tr>
      <w:tr>
        <w:tblPrEx>
          <w:tblW w:w="10260" w:type="dxa"/>
          <w:tblInd w:w="0" w:type="dxa"/>
          <w:tblLayout w:type="fixed"/>
        </w:tblPrEx>
        <w:trPr>
          <w:cantSplit/>
          <w:trHeight w:hRule="exact" w:val="240"/>
        </w:trPr>
        <w:tc>
          <w:tcPr>
            <w:tcW w:w="73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Total liabilities and stockholders’ equity</w:t>
            </w:r>
          </w:p>
        </w:tc>
        <w:tc>
          <w:tcPr>
            <w:tcW w:w="14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01"/>
                <w:tab w:val="left" w:pos="1372"/>
              </w:tabs>
              <w:spacing w:before="33" w:after="30" w:line="288" w:lineRule="auto"/>
              <w:jc w:val="right"/>
            </w:pPr>
            <w:r>
              <w:rPr>
                <w:rFonts w:ascii="Times New Roman" w:eastAsia="Times New Roman" w:hAnsi="Times New Roman" w:cs="Times New Roman"/>
                <w:b w:val="0"/>
                <w:i w:val="0"/>
                <w:color w:val="000000"/>
                <w:sz w:val="16"/>
                <w:u w:val="none"/>
              </w:rPr>
              <w:t>$</w:t>
              <w:tab/>
              <w:t>531,419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01"/>
                <w:tab w:val="left" w:pos="1372"/>
              </w:tabs>
              <w:spacing w:before="33" w:after="30" w:line="288" w:lineRule="auto"/>
              <w:jc w:val="right"/>
            </w:pPr>
            <w:r>
              <w:rPr>
                <w:rFonts w:ascii="Times New Roman" w:eastAsia="Times New Roman" w:hAnsi="Times New Roman" w:cs="Times New Roman"/>
                <w:b w:val="0"/>
                <w:i w:val="0"/>
                <w:color w:val="000000"/>
                <w:sz w:val="16"/>
                <w:u w:val="none"/>
              </w:rPr>
              <w:t>$</w:t>
              <w:tab/>
              <w:t>436,638</w:t>
              <w:tab/>
            </w:r>
          </w:p>
        </w:tc>
      </w:tr>
      <w:tr>
        <w:tblPrEx>
          <w:tblW w:w="10260" w:type="dxa"/>
          <w:tblInd w:w="0" w:type="dxa"/>
          <w:tblLayout w:type="fixed"/>
        </w:tblPrEx>
        <w:trPr>
          <w:cantSplit/>
          <w:trHeight w:hRule="exact" w:val="405"/>
        </w:trPr>
        <w:tc>
          <w:tcPr>
            <w:tcW w:w="10260" w:type="dxa"/>
            <w:gridSpan w:val="4"/>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0" w:line="288" w:lineRule="auto"/>
              <w:jc w:val="left"/>
            </w:pPr>
            <w:r>
              <w:rPr>
                <w:rFonts w:ascii="Times New Roman" w:eastAsia="Times New Roman" w:hAnsi="Times New Roman" w:cs="Times New Roman"/>
                <w:b w:val="0"/>
                <w:i w:val="0"/>
                <w:color w:val="000000"/>
                <w:sz w:val="14"/>
                <w:u w:val="none"/>
              </w:rPr>
              <w:t xml:space="preserve"> (1)    The aggregate Treasury stock of prior repurchases of our own common stock was retired and subsequently issued effective January 1, 2024. See the Consolidated </w:t>
            </w:r>
          </w:p>
          <w:p>
            <w:pPr>
              <w:spacing w:after="30" w:line="288" w:lineRule="auto"/>
              <w:jc w:val="left"/>
            </w:pPr>
            <w:r>
              <w:rPr>
                <w:rFonts w:ascii="Times New Roman" w:eastAsia="Times New Roman" w:hAnsi="Times New Roman" w:cs="Times New Roman"/>
                <w:b w:val="0"/>
                <w:i w:val="0"/>
                <w:color w:val="000000"/>
                <w:sz w:val="14"/>
                <w:u w:val="none"/>
              </w:rPr>
              <w:t xml:space="preserve">          Statement of Changes in Stockholders’ Equity for the impact of this transaction.</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Consolidated Financial Statements.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footerReference w:type="default" r:id="rId15"/>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i w:val="0"/>
          <w:sz w:val="20"/>
        </w:rPr>
      </w:pPr>
      <w:bookmarkStart w:id="23" w:name="Section24"/>
      <w:bookmarkEnd w:id="23"/>
      <w:r>
        <w:rPr>
          <w:rFonts w:ascii="Times New Roman" w:eastAsia="Times New Roman" w:hAnsi="Times New Roman" w:cs="Times New Roman"/>
          <w:b/>
          <w:i w:val="0"/>
          <w:sz w:val="20"/>
        </w:rPr>
        <w:t>ASURE SOFTWARE, INC.</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CONSOLIDATED STATEMENTS OF COMPREHENSIVE LOSS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 except per share amounts)</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575"/>
        <w:gridCol w:w="1305"/>
        <w:gridCol w:w="75"/>
        <w:gridCol w:w="1305"/>
      </w:tblGrid>
      <w:tr>
        <w:tblPrEx>
          <w:tblW w:w="10260" w:type="dxa"/>
          <w:tblInd w:w="0" w:type="dxa"/>
          <w:tblLayout w:type="fixed"/>
        </w:tblPrEx>
        <w:trPr>
          <w:cantSplit/>
          <w:trHeight w:hRule="exact" w:val="480"/>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68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88" w:lineRule="auto"/>
              <w:jc w:val="center"/>
            </w:pPr>
            <w:r>
              <w:rPr>
                <w:rFonts w:ascii="Times New Roman" w:eastAsia="Times New Roman" w:hAnsi="Times New Roman" w:cs="Times New Roman"/>
                <w:b/>
                <w:i w:val="0"/>
                <w:color w:val="000000"/>
                <w:sz w:val="20"/>
                <w:u w:val="none"/>
              </w:rPr>
              <w:t>Year Ended</w:t>
            </w:r>
          </w:p>
          <w:p>
            <w:pPr>
              <w:spacing w:after="30" w:line="288" w:lineRule="auto"/>
              <w:jc w:val="center"/>
            </w:pPr>
            <w:r>
              <w:rPr>
                <w:rFonts w:ascii="Times New Roman" w:eastAsia="Times New Roman" w:hAnsi="Times New Roman" w:cs="Times New Roman"/>
                <w:b/>
                <w:i w:val="0"/>
                <w:color w:val="000000"/>
                <w:sz w:val="20"/>
                <w:u w:val="none"/>
              </w:rPr>
              <w:t>December 31,</w:t>
            </w:r>
          </w:p>
        </w:tc>
      </w:tr>
      <w:tr>
        <w:tblPrEx>
          <w:tblW w:w="10260" w:type="dxa"/>
          <w:tblInd w:w="0" w:type="dxa"/>
          <w:tblLayout w:type="fixed"/>
        </w:tblPrEx>
        <w:trPr>
          <w:cantSplit/>
          <w:trHeight w:hRule="exact" w:val="300"/>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center"/>
            </w:pPr>
            <w:r>
              <w:rPr>
                <w:rFonts w:ascii="Times New Roman" w:eastAsia="Times New Roman" w:hAnsi="Times New Roman" w:cs="Times New Roman"/>
                <w:b/>
                <w:i w:val="0"/>
                <w:color w:val="000000"/>
                <w:sz w:val="20"/>
                <w:u w:val="none"/>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center"/>
            </w:pPr>
            <w:r>
              <w:rPr>
                <w:rFonts w:ascii="Times New Roman" w:eastAsia="Times New Roman" w:hAnsi="Times New Roman" w:cs="Times New Roman"/>
                <w:b/>
                <w:i w:val="0"/>
                <w:color w:val="000000"/>
                <w:sz w:val="20"/>
                <w:u w:val="none"/>
              </w:rPr>
              <w:t>2024</w:t>
            </w:r>
          </w:p>
        </w:tc>
      </w:tr>
      <w:tr>
        <w:tblPrEx>
          <w:tblW w:w="10260" w:type="dxa"/>
          <w:tblInd w:w="0" w:type="dxa"/>
          <w:tblLayout w:type="fixed"/>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Revenue:</w:t>
            </w: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Recurring</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22"/>
                <w:tab w:val="left" w:pos="1237"/>
              </w:tabs>
              <w:spacing w:before="53" w:after="30" w:line="288" w:lineRule="auto"/>
              <w:jc w:val="right"/>
            </w:pPr>
            <w:r>
              <w:rPr>
                <w:rFonts w:ascii="Times New Roman" w:eastAsia="Times New Roman" w:hAnsi="Times New Roman" w:cs="Times New Roman"/>
                <w:b w:val="0"/>
                <w:i w:val="0"/>
                <w:color w:val="000000"/>
                <w:sz w:val="20"/>
                <w:u w:val="none"/>
              </w:rPr>
              <w:t>$</w:t>
              <w:tab/>
              <w:t>127,288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22"/>
                <w:tab w:val="left" w:pos="1237"/>
              </w:tabs>
              <w:spacing w:before="53" w:after="30" w:line="288" w:lineRule="auto"/>
              <w:jc w:val="right"/>
            </w:pPr>
            <w:r>
              <w:rPr>
                <w:rFonts w:ascii="Times New Roman" w:eastAsia="Times New Roman" w:hAnsi="Times New Roman" w:cs="Times New Roman"/>
                <w:b w:val="0"/>
                <w:i w:val="0"/>
                <w:color w:val="000000"/>
                <w:sz w:val="20"/>
                <w:u w:val="none"/>
              </w:rPr>
              <w:t>$</w:t>
              <w:tab/>
              <w:t>114,471</w:t>
              <w:tab/>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Professional services, hardware and other</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3" w:after="30" w:line="288" w:lineRule="auto"/>
              <w:jc w:val="right"/>
            </w:pPr>
            <w:r>
              <w:rPr>
                <w:rFonts w:ascii="Times New Roman" w:eastAsia="Times New Roman" w:hAnsi="Times New Roman" w:cs="Times New Roman"/>
                <w:b w:val="0"/>
                <w:i w:val="0"/>
                <w:color w:val="000000"/>
                <w:sz w:val="20"/>
                <w:u w:val="none"/>
              </w:rPr>
              <w:tab/>
              <w:t>13,253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53" w:after="30" w:line="288" w:lineRule="auto"/>
              <w:jc w:val="right"/>
            </w:pPr>
            <w:r>
              <w:rPr>
                <w:rFonts w:ascii="Times New Roman" w:eastAsia="Times New Roman" w:hAnsi="Times New Roman" w:cs="Times New Roman"/>
                <w:b w:val="0"/>
                <w:i w:val="0"/>
                <w:color w:val="000000"/>
                <w:sz w:val="20"/>
                <w:u w:val="none"/>
              </w:rPr>
              <w:tab/>
              <w:t>5,321</w:t>
              <w:tab/>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Total revenue</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522"/>
                <w:tab w:val="left" w:pos="1237"/>
              </w:tabs>
              <w:spacing w:before="33" w:after="30" w:line="288" w:lineRule="auto"/>
              <w:jc w:val="right"/>
            </w:pPr>
            <w:r>
              <w:rPr>
                <w:rFonts w:ascii="Times New Roman" w:eastAsia="Times New Roman" w:hAnsi="Times New Roman" w:cs="Times New Roman"/>
                <w:b w:val="0"/>
                <w:i w:val="0"/>
                <w:color w:val="000000"/>
                <w:sz w:val="20"/>
                <w:u w:val="none"/>
              </w:rPr>
              <w:tab/>
              <w:t>140,541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522"/>
                <w:tab w:val="left" w:pos="1237"/>
              </w:tabs>
              <w:spacing w:before="33" w:after="30" w:line="288" w:lineRule="auto"/>
              <w:jc w:val="right"/>
            </w:pPr>
            <w:r>
              <w:rPr>
                <w:rFonts w:ascii="Times New Roman" w:eastAsia="Times New Roman" w:hAnsi="Times New Roman" w:cs="Times New Roman"/>
                <w:b w:val="0"/>
                <w:i w:val="0"/>
                <w:color w:val="000000"/>
                <w:sz w:val="20"/>
                <w:u w:val="none"/>
              </w:rPr>
              <w:tab/>
              <w:t>119,792</w:t>
              <w:tab/>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20"/>
                <w:u w:val="none"/>
              </w:rPr>
              <w:t>Cost of sales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3" w:after="30" w:line="288" w:lineRule="auto"/>
              <w:jc w:val="right"/>
            </w:pPr>
            <w:r>
              <w:rPr>
                <w:rFonts w:ascii="Times New Roman" w:eastAsia="Times New Roman" w:hAnsi="Times New Roman" w:cs="Times New Roman"/>
                <w:b w:val="0"/>
                <w:i w:val="0"/>
                <w:color w:val="000000"/>
                <w:sz w:val="20"/>
                <w:u w:val="none"/>
              </w:rPr>
              <w:tab/>
              <w:t>45,667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3" w:after="30" w:line="288" w:lineRule="auto"/>
              <w:jc w:val="right"/>
            </w:pPr>
            <w:r>
              <w:rPr>
                <w:rFonts w:ascii="Times New Roman" w:eastAsia="Times New Roman" w:hAnsi="Times New Roman" w:cs="Times New Roman"/>
                <w:b w:val="0"/>
                <w:i w:val="0"/>
                <w:color w:val="000000"/>
                <w:sz w:val="20"/>
                <w:u w:val="none"/>
              </w:rPr>
              <w:tab/>
              <w:t>37,685</w:t>
              <w:tab/>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345"/>
              <w:jc w:val="left"/>
            </w:pPr>
            <w:r>
              <w:rPr>
                <w:rFonts w:ascii="Times New Roman" w:eastAsia="Times New Roman" w:hAnsi="Times New Roman" w:cs="Times New Roman"/>
                <w:b w:val="0"/>
                <w:i w:val="0"/>
                <w:color w:val="000000"/>
                <w:sz w:val="20"/>
                <w:u w:val="none"/>
              </w:rPr>
              <w:t>Gross profit</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2"/>
                <w:tab w:val="left" w:pos="1237"/>
              </w:tabs>
              <w:spacing w:before="33" w:after="30" w:line="288" w:lineRule="auto"/>
              <w:jc w:val="right"/>
            </w:pPr>
            <w:r>
              <w:rPr>
                <w:rFonts w:ascii="Times New Roman" w:eastAsia="Times New Roman" w:hAnsi="Times New Roman" w:cs="Times New Roman"/>
                <w:b w:val="0"/>
                <w:i w:val="0"/>
                <w:color w:val="000000"/>
                <w:sz w:val="20"/>
                <w:u w:val="none"/>
              </w:rPr>
              <w:tab/>
              <w:t>94,874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2"/>
                <w:tab w:val="left" w:pos="1237"/>
              </w:tabs>
              <w:spacing w:before="33" w:after="30" w:line="288" w:lineRule="auto"/>
              <w:jc w:val="right"/>
            </w:pPr>
            <w:r>
              <w:rPr>
                <w:rFonts w:ascii="Times New Roman" w:eastAsia="Times New Roman" w:hAnsi="Times New Roman" w:cs="Times New Roman"/>
                <w:b w:val="0"/>
                <w:i w:val="0"/>
                <w:color w:val="000000"/>
                <w:sz w:val="20"/>
                <w:u w:val="none"/>
              </w:rPr>
              <w:tab/>
              <w:t>82,107</w:t>
              <w:tab/>
            </w:r>
          </w:p>
        </w:tc>
      </w:tr>
      <w:tr>
        <w:tblPrEx>
          <w:tblW w:w="10260" w:type="dxa"/>
          <w:tblInd w:w="0" w:type="dxa"/>
          <w:tblLayout w:type="fixed"/>
        </w:tblPrEx>
        <w:trPr>
          <w:cantSplit/>
          <w:trHeight w:hRule="exact" w:val="28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Operating expenses:</w:t>
            </w: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Sales and marketing</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2"/>
                <w:tab w:val="left" w:pos="1237"/>
              </w:tabs>
              <w:spacing w:before="53" w:after="30" w:line="288" w:lineRule="auto"/>
              <w:jc w:val="right"/>
            </w:pPr>
            <w:r>
              <w:rPr>
                <w:rFonts w:ascii="Times New Roman" w:eastAsia="Times New Roman" w:hAnsi="Times New Roman" w:cs="Times New Roman"/>
                <w:b w:val="0"/>
                <w:i w:val="0"/>
                <w:color w:val="000000"/>
                <w:sz w:val="20"/>
                <w:u w:val="none"/>
              </w:rPr>
              <w:tab/>
              <w:t>33,569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2"/>
                <w:tab w:val="left" w:pos="1237"/>
              </w:tabs>
              <w:spacing w:before="53" w:after="30" w:line="288" w:lineRule="auto"/>
              <w:jc w:val="right"/>
            </w:pPr>
            <w:r>
              <w:rPr>
                <w:rFonts w:ascii="Times New Roman" w:eastAsia="Times New Roman" w:hAnsi="Times New Roman" w:cs="Times New Roman"/>
                <w:b w:val="0"/>
                <w:i w:val="0"/>
                <w:color w:val="000000"/>
                <w:sz w:val="20"/>
                <w:u w:val="none"/>
              </w:rPr>
              <w:tab/>
              <w:t>28,316</w:t>
              <w:tab/>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General and administrative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3" w:after="30" w:line="288" w:lineRule="auto"/>
              <w:jc w:val="right"/>
            </w:pPr>
            <w:r>
              <w:rPr>
                <w:rFonts w:ascii="Times New Roman" w:eastAsia="Times New Roman" w:hAnsi="Times New Roman" w:cs="Times New Roman"/>
                <w:b w:val="0"/>
                <w:i w:val="0"/>
                <w:color w:val="000000"/>
                <w:sz w:val="20"/>
                <w:u w:val="none"/>
              </w:rPr>
              <w:tab/>
              <w:t>45,831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3" w:after="30" w:line="288" w:lineRule="auto"/>
              <w:jc w:val="right"/>
            </w:pPr>
            <w:r>
              <w:rPr>
                <w:rFonts w:ascii="Times New Roman" w:eastAsia="Times New Roman" w:hAnsi="Times New Roman" w:cs="Times New Roman"/>
                <w:b w:val="0"/>
                <w:i w:val="0"/>
                <w:color w:val="000000"/>
                <w:sz w:val="20"/>
                <w:u w:val="none"/>
              </w:rPr>
              <w:tab/>
              <w:t>40,499</w:t>
              <w:tab/>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Research and development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53" w:after="30" w:line="288" w:lineRule="auto"/>
              <w:jc w:val="right"/>
            </w:pPr>
            <w:r>
              <w:rPr>
                <w:rFonts w:ascii="Times New Roman" w:eastAsia="Times New Roman" w:hAnsi="Times New Roman" w:cs="Times New Roman"/>
                <w:b w:val="0"/>
                <w:i w:val="0"/>
                <w:color w:val="000000"/>
                <w:sz w:val="20"/>
                <w:u w:val="none"/>
              </w:rPr>
              <w:tab/>
              <w:t>5,599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53" w:after="30" w:line="288" w:lineRule="auto"/>
              <w:jc w:val="right"/>
            </w:pPr>
            <w:r>
              <w:rPr>
                <w:rFonts w:ascii="Times New Roman" w:eastAsia="Times New Roman" w:hAnsi="Times New Roman" w:cs="Times New Roman"/>
                <w:b w:val="0"/>
                <w:i w:val="0"/>
                <w:color w:val="000000"/>
                <w:sz w:val="20"/>
                <w:u w:val="none"/>
              </w:rPr>
              <w:tab/>
              <w:t>7,807</w:t>
              <w:tab/>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Amortization of intangible assets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3" w:after="30" w:line="288" w:lineRule="auto"/>
              <w:jc w:val="right"/>
            </w:pPr>
            <w:r>
              <w:rPr>
                <w:rFonts w:ascii="Times New Roman" w:eastAsia="Times New Roman" w:hAnsi="Times New Roman" w:cs="Times New Roman"/>
                <w:b w:val="0"/>
                <w:i w:val="0"/>
                <w:color w:val="000000"/>
                <w:sz w:val="20"/>
                <w:u w:val="none"/>
              </w:rPr>
              <w:tab/>
              <w:t>18,283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3" w:after="30" w:line="288" w:lineRule="auto"/>
              <w:jc w:val="right"/>
            </w:pPr>
            <w:r>
              <w:rPr>
                <w:rFonts w:ascii="Times New Roman" w:eastAsia="Times New Roman" w:hAnsi="Times New Roman" w:cs="Times New Roman"/>
                <w:b w:val="0"/>
                <w:i w:val="0"/>
                <w:color w:val="000000"/>
                <w:sz w:val="20"/>
                <w:u w:val="none"/>
              </w:rPr>
              <w:tab/>
              <w:t>16,222</w:t>
              <w:tab/>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Total operating expenses</w:t>
            </w: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22"/>
                <w:tab w:val="left" w:pos="1237"/>
              </w:tabs>
              <w:spacing w:before="33" w:after="30" w:line="288" w:lineRule="auto"/>
              <w:jc w:val="right"/>
            </w:pPr>
            <w:r>
              <w:rPr>
                <w:rFonts w:ascii="Times New Roman" w:eastAsia="Times New Roman" w:hAnsi="Times New Roman" w:cs="Times New Roman"/>
                <w:b w:val="0"/>
                <w:i w:val="0"/>
                <w:color w:val="000000"/>
                <w:sz w:val="20"/>
                <w:u w:val="none"/>
              </w:rPr>
              <w:tab/>
              <w:t>103,282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2"/>
                <w:tab w:val="left" w:pos="1237"/>
              </w:tabs>
              <w:spacing w:before="33" w:after="30" w:line="288" w:lineRule="auto"/>
              <w:jc w:val="right"/>
            </w:pPr>
            <w:r>
              <w:rPr>
                <w:rFonts w:ascii="Times New Roman" w:eastAsia="Times New Roman" w:hAnsi="Times New Roman" w:cs="Times New Roman"/>
                <w:b w:val="0"/>
                <w:i w:val="0"/>
                <w:color w:val="000000"/>
                <w:sz w:val="20"/>
                <w:u w:val="none"/>
              </w:rPr>
              <w:tab/>
              <w:t>92,844</w:t>
              <w:tab/>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Loss from operations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36"/>
              </w:tabs>
              <w:spacing w:before="33" w:after="30" w:line="288" w:lineRule="auto"/>
              <w:jc w:val="right"/>
            </w:pPr>
            <w:r>
              <w:rPr>
                <w:rFonts w:ascii="Times New Roman" w:eastAsia="Times New Roman" w:hAnsi="Times New Roman" w:cs="Times New Roman"/>
                <w:b w:val="0"/>
                <w:i w:val="0"/>
                <w:color w:val="000000"/>
                <w:sz w:val="20"/>
                <w:u w:val="none"/>
              </w:rPr>
              <w:tab/>
              <w:t>(8,408)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36"/>
              </w:tabs>
              <w:spacing w:before="33" w:after="30" w:line="288" w:lineRule="auto"/>
              <w:jc w:val="right"/>
            </w:pPr>
            <w:r>
              <w:rPr>
                <w:rFonts w:ascii="Times New Roman" w:eastAsia="Times New Roman" w:hAnsi="Times New Roman" w:cs="Times New Roman"/>
                <w:b w:val="0"/>
                <w:i w:val="0"/>
                <w:color w:val="000000"/>
                <w:sz w:val="20"/>
                <w:u w:val="none"/>
              </w:rPr>
              <w:tab/>
              <w:t>(10,737)</w:t>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Interest income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53" w:after="30" w:line="288" w:lineRule="auto"/>
              <w:jc w:val="right"/>
            </w:pPr>
            <w:r>
              <w:rPr>
                <w:rFonts w:ascii="Times New Roman" w:eastAsia="Times New Roman" w:hAnsi="Times New Roman" w:cs="Times New Roman"/>
                <w:b w:val="0"/>
                <w:i w:val="0"/>
                <w:color w:val="000000"/>
                <w:sz w:val="20"/>
                <w:u w:val="none"/>
              </w:rPr>
              <w:tab/>
              <w:t>869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53" w:after="30" w:line="288" w:lineRule="auto"/>
              <w:jc w:val="right"/>
            </w:pPr>
            <w:r>
              <w:rPr>
                <w:rFonts w:ascii="Times New Roman" w:eastAsia="Times New Roman" w:hAnsi="Times New Roman" w:cs="Times New Roman"/>
                <w:b w:val="0"/>
                <w:i w:val="0"/>
                <w:color w:val="000000"/>
                <w:sz w:val="20"/>
                <w:u w:val="none"/>
              </w:rPr>
              <w:tab/>
              <w:t>913</w:t>
              <w:tab/>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Interest expense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36"/>
              </w:tabs>
              <w:spacing w:before="53" w:after="30" w:line="288" w:lineRule="auto"/>
              <w:jc w:val="right"/>
            </w:pPr>
            <w:r>
              <w:rPr>
                <w:rFonts w:ascii="Times New Roman" w:eastAsia="Times New Roman" w:hAnsi="Times New Roman" w:cs="Times New Roman"/>
                <w:b w:val="0"/>
                <w:i w:val="0"/>
                <w:color w:val="000000"/>
                <w:sz w:val="20"/>
                <w:u w:val="none"/>
              </w:rPr>
              <w:tab/>
              <w:t>(5,056)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36"/>
              </w:tabs>
              <w:spacing w:before="53" w:after="30" w:line="288" w:lineRule="auto"/>
              <w:jc w:val="right"/>
            </w:pPr>
            <w:r>
              <w:rPr>
                <w:rFonts w:ascii="Times New Roman" w:eastAsia="Times New Roman" w:hAnsi="Times New Roman" w:cs="Times New Roman"/>
                <w:b w:val="0"/>
                <w:i w:val="0"/>
                <w:color w:val="000000"/>
                <w:sz w:val="20"/>
                <w:u w:val="none"/>
              </w:rPr>
              <w:tab/>
              <w:t>(1,024)</w:t>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Other income, net</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53" w:after="30" w:line="288" w:lineRule="auto"/>
              <w:jc w:val="right"/>
            </w:pPr>
            <w:r>
              <w:rPr>
                <w:rFonts w:ascii="Times New Roman" w:eastAsia="Times New Roman" w:hAnsi="Times New Roman" w:cs="Times New Roman"/>
                <w:b w:val="0"/>
                <w:i w:val="0"/>
                <w:color w:val="000000"/>
                <w:sz w:val="20"/>
                <w:u w:val="none"/>
              </w:rPr>
              <w:tab/>
              <w:t>121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72"/>
                <w:tab w:val="left" w:pos="1237"/>
              </w:tabs>
              <w:spacing w:before="53" w:after="30" w:line="288" w:lineRule="auto"/>
              <w:jc w:val="right"/>
            </w:pPr>
            <w:r>
              <w:rPr>
                <w:rFonts w:ascii="Times New Roman" w:eastAsia="Times New Roman" w:hAnsi="Times New Roman" w:cs="Times New Roman"/>
                <w:b w:val="0"/>
                <w:i w:val="0"/>
                <w:color w:val="000000"/>
                <w:sz w:val="20"/>
                <w:u w:val="none"/>
              </w:rPr>
              <w:tab/>
              <w:t>8</w:t>
              <w:tab/>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Loss from operations before income taxes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36"/>
              </w:tabs>
              <w:spacing w:before="33" w:after="30" w:line="288" w:lineRule="auto"/>
              <w:jc w:val="right"/>
            </w:pPr>
            <w:r>
              <w:rPr>
                <w:rFonts w:ascii="Times New Roman" w:eastAsia="Times New Roman" w:hAnsi="Times New Roman" w:cs="Times New Roman"/>
                <w:b w:val="0"/>
                <w:i w:val="0"/>
                <w:color w:val="000000"/>
                <w:sz w:val="20"/>
                <w:u w:val="none"/>
              </w:rPr>
              <w:tab/>
              <w:t>(12,474)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36"/>
              </w:tabs>
              <w:spacing w:before="33" w:after="30" w:line="288" w:lineRule="auto"/>
              <w:jc w:val="right"/>
            </w:pPr>
            <w:r>
              <w:rPr>
                <w:rFonts w:ascii="Times New Roman" w:eastAsia="Times New Roman" w:hAnsi="Times New Roman" w:cs="Times New Roman"/>
                <w:b w:val="0"/>
                <w:i w:val="0"/>
                <w:color w:val="000000"/>
                <w:sz w:val="20"/>
                <w:u w:val="none"/>
              </w:rPr>
              <w:tab/>
              <w:t>(10,840)</w:t>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Income tax expense</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53" w:after="30" w:line="288" w:lineRule="auto"/>
              <w:jc w:val="right"/>
            </w:pPr>
            <w:r>
              <w:rPr>
                <w:rFonts w:ascii="Times New Roman" w:eastAsia="Times New Roman" w:hAnsi="Times New Roman" w:cs="Times New Roman"/>
                <w:b w:val="0"/>
                <w:i w:val="0"/>
                <w:color w:val="000000"/>
                <w:sz w:val="20"/>
                <w:u w:val="none"/>
              </w:rPr>
              <w:tab/>
              <w:t>652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72"/>
                <w:tab w:val="left" w:pos="1237"/>
              </w:tabs>
              <w:spacing w:before="53" w:after="30" w:line="288" w:lineRule="auto"/>
              <w:jc w:val="right"/>
            </w:pPr>
            <w:r>
              <w:rPr>
                <w:rFonts w:ascii="Times New Roman" w:eastAsia="Times New Roman" w:hAnsi="Times New Roman" w:cs="Times New Roman"/>
                <w:b w:val="0"/>
                <w:i w:val="0"/>
                <w:color w:val="000000"/>
                <w:sz w:val="20"/>
                <w:u w:val="none"/>
              </w:rPr>
              <w:tab/>
              <w:t>933</w:t>
              <w:tab/>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Net loss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36"/>
              </w:tabs>
              <w:spacing w:before="33" w:after="30" w:line="288" w:lineRule="auto"/>
              <w:jc w:val="right"/>
            </w:pPr>
            <w:r>
              <w:rPr>
                <w:rFonts w:ascii="Times New Roman" w:eastAsia="Times New Roman" w:hAnsi="Times New Roman" w:cs="Times New Roman"/>
                <w:b w:val="0"/>
                <w:i w:val="0"/>
                <w:color w:val="000000"/>
                <w:sz w:val="20"/>
                <w:u w:val="none"/>
              </w:rPr>
              <w:tab/>
              <w:t>(13,126)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36"/>
              </w:tabs>
              <w:spacing w:before="33" w:after="30" w:line="288" w:lineRule="auto"/>
              <w:jc w:val="right"/>
            </w:pPr>
            <w:r>
              <w:rPr>
                <w:rFonts w:ascii="Times New Roman" w:eastAsia="Times New Roman" w:hAnsi="Times New Roman" w:cs="Times New Roman"/>
                <w:b w:val="0"/>
                <w:i w:val="0"/>
                <w:color w:val="000000"/>
                <w:sz w:val="20"/>
                <w:u w:val="none"/>
              </w:rPr>
              <w:tab/>
              <w:t>(11,773)</w:t>
            </w:r>
          </w:p>
        </w:tc>
      </w:tr>
      <w:tr>
        <w:tblPrEx>
          <w:tblW w:w="10260" w:type="dxa"/>
          <w:tblInd w:w="0" w:type="dxa"/>
          <w:tblLayout w:type="fixed"/>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20"/>
                <w:u w:val="none"/>
              </w:rPr>
              <w:t>Other comprehensive income:</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Unrealized gain on marketable securities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53" w:after="30" w:line="288" w:lineRule="auto"/>
              <w:jc w:val="right"/>
            </w:pPr>
            <w:r>
              <w:rPr>
                <w:rFonts w:ascii="Times New Roman" w:eastAsia="Times New Roman" w:hAnsi="Times New Roman" w:cs="Times New Roman"/>
                <w:b w:val="0"/>
                <w:i w:val="0"/>
                <w:color w:val="000000"/>
                <w:sz w:val="20"/>
                <w:u w:val="none"/>
              </w:rPr>
              <w:tab/>
              <w:t>1,010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72"/>
                <w:tab w:val="left" w:pos="1237"/>
              </w:tabs>
              <w:spacing w:before="53" w:after="30" w:line="288" w:lineRule="auto"/>
              <w:jc w:val="right"/>
            </w:pPr>
            <w:r>
              <w:rPr>
                <w:rFonts w:ascii="Times New Roman" w:eastAsia="Times New Roman" w:hAnsi="Times New Roman" w:cs="Times New Roman"/>
                <w:b w:val="0"/>
                <w:i w:val="0"/>
                <w:color w:val="000000"/>
                <w:sz w:val="20"/>
                <w:u w:val="none"/>
              </w:rPr>
              <w:tab/>
              <w:t>540</w:t>
              <w:tab/>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Comprehensive loss</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536"/>
              </w:tabs>
              <w:spacing w:before="33" w:after="30" w:line="288" w:lineRule="auto"/>
              <w:jc w:val="right"/>
            </w:pPr>
            <w:r>
              <w:rPr>
                <w:rFonts w:ascii="Times New Roman" w:eastAsia="Times New Roman" w:hAnsi="Times New Roman" w:cs="Times New Roman"/>
                <w:b w:val="0"/>
                <w:i w:val="0"/>
                <w:color w:val="000000"/>
                <w:sz w:val="20"/>
                <w:u w:val="none"/>
              </w:rPr>
              <w:t>$</w:t>
              <w:tab/>
              <w:t>(12,116)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536"/>
              </w:tabs>
              <w:spacing w:before="33" w:after="30" w:line="288" w:lineRule="auto"/>
              <w:jc w:val="right"/>
            </w:pPr>
            <w:r>
              <w:rPr>
                <w:rFonts w:ascii="Times New Roman" w:eastAsia="Times New Roman" w:hAnsi="Times New Roman" w:cs="Times New Roman"/>
                <w:b w:val="0"/>
                <w:i w:val="0"/>
                <w:color w:val="000000"/>
                <w:sz w:val="20"/>
                <w:u w:val="none"/>
              </w:rPr>
              <w:t>$</w:t>
              <w:tab/>
              <w:t>(11,233)</w:t>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20"/>
                <w:u w:val="none"/>
              </w:rPr>
              <w:t>Basic and diluted loss per share</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Basic</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36"/>
              </w:tabs>
              <w:spacing w:before="53" w:after="30" w:line="288" w:lineRule="auto"/>
              <w:jc w:val="right"/>
            </w:pPr>
            <w:r>
              <w:rPr>
                <w:rFonts w:ascii="Times New Roman" w:eastAsia="Times New Roman" w:hAnsi="Times New Roman" w:cs="Times New Roman"/>
                <w:b w:val="0"/>
                <w:i w:val="0"/>
                <w:color w:val="000000"/>
                <w:sz w:val="20"/>
                <w:u w:val="none"/>
              </w:rPr>
              <w:t>$</w:t>
              <w:tab/>
              <w:t>(0.48)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36"/>
              </w:tabs>
              <w:spacing w:before="53" w:after="30" w:line="288" w:lineRule="auto"/>
              <w:jc w:val="right"/>
            </w:pPr>
            <w:r>
              <w:rPr>
                <w:rFonts w:ascii="Times New Roman" w:eastAsia="Times New Roman" w:hAnsi="Times New Roman" w:cs="Times New Roman"/>
                <w:b w:val="0"/>
                <w:i w:val="0"/>
                <w:color w:val="000000"/>
                <w:sz w:val="20"/>
                <w:u w:val="none"/>
              </w:rPr>
              <w:t>$</w:t>
              <w:tab/>
              <w:t>(0.45)</w:t>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Diluted</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36"/>
              </w:tabs>
              <w:spacing w:before="53" w:after="30" w:line="288" w:lineRule="auto"/>
              <w:jc w:val="right"/>
            </w:pPr>
            <w:r>
              <w:rPr>
                <w:rFonts w:ascii="Times New Roman" w:eastAsia="Times New Roman" w:hAnsi="Times New Roman" w:cs="Times New Roman"/>
                <w:b w:val="0"/>
                <w:i w:val="0"/>
                <w:color w:val="000000"/>
                <w:sz w:val="20"/>
                <w:u w:val="none"/>
              </w:rPr>
              <w:t>$</w:t>
              <w:tab/>
              <w:t>(0.48)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36"/>
              </w:tabs>
              <w:spacing w:before="53" w:after="30" w:line="288" w:lineRule="auto"/>
              <w:jc w:val="right"/>
            </w:pPr>
            <w:r>
              <w:rPr>
                <w:rFonts w:ascii="Times New Roman" w:eastAsia="Times New Roman" w:hAnsi="Times New Roman" w:cs="Times New Roman"/>
                <w:b w:val="0"/>
                <w:i w:val="0"/>
                <w:color w:val="000000"/>
                <w:sz w:val="20"/>
                <w:u w:val="none"/>
              </w:rPr>
              <w:t>$</w:t>
              <w:tab/>
              <w:t>(0.45)</w:t>
            </w:r>
          </w:p>
        </w:tc>
      </w:tr>
      <w:tr>
        <w:tblPrEx>
          <w:tblW w:w="10260" w:type="dxa"/>
          <w:tblInd w:w="0" w:type="dxa"/>
          <w:tblLayout w:type="fixed"/>
        </w:tblPrEx>
        <w:trPr>
          <w:cantSplit/>
          <w:trHeight w:hRule="exact" w:val="285"/>
        </w:trPr>
        <w:tc>
          <w:tcPr>
            <w:tcW w:w="7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20"/>
                <w:u w:val="none"/>
              </w:rPr>
              <w:t>Weighted average basic and diluted shares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Basic</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3" w:after="30" w:line="288" w:lineRule="auto"/>
              <w:jc w:val="right"/>
            </w:pPr>
            <w:r>
              <w:rPr>
                <w:rFonts w:ascii="Times New Roman" w:eastAsia="Times New Roman" w:hAnsi="Times New Roman" w:cs="Times New Roman"/>
                <w:b w:val="0"/>
                <w:i w:val="0"/>
                <w:color w:val="000000"/>
                <w:sz w:val="20"/>
                <w:u w:val="none"/>
              </w:rPr>
              <w:tab/>
              <w:t>27,430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53" w:after="30" w:line="288" w:lineRule="auto"/>
              <w:jc w:val="right"/>
            </w:pPr>
            <w:r>
              <w:rPr>
                <w:rFonts w:ascii="Times New Roman" w:eastAsia="Times New Roman" w:hAnsi="Times New Roman" w:cs="Times New Roman"/>
                <w:b w:val="0"/>
                <w:i w:val="0"/>
                <w:color w:val="000000"/>
                <w:sz w:val="20"/>
                <w:u w:val="none"/>
              </w:rPr>
              <w:tab/>
              <w:t>26,054</w:t>
              <w:tab/>
            </w:r>
          </w:p>
        </w:tc>
      </w:tr>
      <w:tr>
        <w:tblPrEx>
          <w:tblW w:w="10260" w:type="dxa"/>
          <w:tblInd w:w="0" w:type="dxa"/>
          <w:tblLayout w:type="fixed"/>
        </w:tblPrEx>
        <w:trPr>
          <w:cantSplit/>
          <w:trHeight w:hRule="exact" w:val="300"/>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3" w:after="30" w:line="288" w:lineRule="auto"/>
              <w:ind w:left="360"/>
              <w:jc w:val="left"/>
            </w:pPr>
            <w:r>
              <w:rPr>
                <w:rFonts w:ascii="Times New Roman" w:eastAsia="Times New Roman" w:hAnsi="Times New Roman" w:cs="Times New Roman"/>
                <w:b w:val="0"/>
                <w:i w:val="0"/>
                <w:color w:val="000000"/>
                <w:sz w:val="20"/>
                <w:u w:val="none"/>
              </w:rPr>
              <w:t>Diluted</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622"/>
                <w:tab w:val="left" w:pos="1237"/>
              </w:tabs>
              <w:spacing w:before="53" w:after="30" w:line="288" w:lineRule="auto"/>
              <w:jc w:val="right"/>
            </w:pPr>
            <w:r>
              <w:rPr>
                <w:rFonts w:ascii="Times New Roman" w:eastAsia="Times New Roman" w:hAnsi="Times New Roman" w:cs="Times New Roman"/>
                <w:b w:val="0"/>
                <w:i w:val="0"/>
                <w:color w:val="000000"/>
                <w:sz w:val="20"/>
                <w:u w:val="none"/>
              </w:rPr>
              <w:tab/>
              <w:t>27,430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622"/>
                <w:tab w:val="left" w:pos="1237"/>
              </w:tabs>
              <w:spacing w:before="53" w:after="30" w:line="288" w:lineRule="auto"/>
              <w:jc w:val="right"/>
            </w:pPr>
            <w:r>
              <w:rPr>
                <w:rFonts w:ascii="Times New Roman" w:eastAsia="Times New Roman" w:hAnsi="Times New Roman" w:cs="Times New Roman"/>
                <w:b w:val="0"/>
                <w:i w:val="0"/>
                <w:color w:val="000000"/>
                <w:sz w:val="20"/>
                <w:u w:val="none"/>
              </w:rPr>
              <w:tab/>
              <w:t>26,054</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Consolidated Financial Statements.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i w:val="0"/>
          <w:sz w:val="20"/>
        </w:rPr>
      </w:pPr>
      <w:bookmarkStart w:id="24" w:name="Section25"/>
      <w:bookmarkEnd w:id="24"/>
      <w:r>
        <w:rPr>
          <w:rFonts w:ascii="Times New Roman" w:eastAsia="Times New Roman" w:hAnsi="Times New Roman" w:cs="Times New Roman"/>
          <w:b/>
          <w:i w:val="0"/>
          <w:sz w:val="20"/>
        </w:rPr>
        <w:t>ASURE SOFTWARE, INC.</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CONSOLIDATED STATEMENTS OF CHANGES IN STOCKHOLDERS’ EQUITY</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w:t>
      </w:r>
    </w:p>
    <w:tbl>
      <w:tblPr>
        <w:tblW w:w="1080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300"/>
        <w:gridCol w:w="960"/>
        <w:gridCol w:w="75"/>
        <w:gridCol w:w="900"/>
        <w:gridCol w:w="75"/>
        <w:gridCol w:w="900"/>
        <w:gridCol w:w="75"/>
        <w:gridCol w:w="1005"/>
        <w:gridCol w:w="75"/>
        <w:gridCol w:w="1020"/>
        <w:gridCol w:w="75"/>
        <w:gridCol w:w="1200"/>
        <w:gridCol w:w="75"/>
        <w:gridCol w:w="1065"/>
      </w:tblGrid>
      <w:tr>
        <w:tblPrEx>
          <w:tblW w:w="10800" w:type="dxa"/>
          <w:tblInd w:w="0" w:type="dxa"/>
          <w:tblLayout w:type="fixed"/>
        </w:tblPrEx>
        <w:trPr>
          <w:cantSplit/>
          <w:trHeight w:hRule="exact" w:val="615"/>
        </w:trPr>
        <w:tc>
          <w:tcPr>
            <w:tcW w:w="33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Common Stock Outstanding</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Common Stock Amount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Treasury Stock</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Additional Paid-in Capital</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Accumulated Deficit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Other Comprehensive Income (Loss)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Total Stockholders’ Equity</w:t>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Balance at December 31, 2023</w:t>
            </w:r>
          </w:p>
        </w:tc>
        <w:tc>
          <w:tcPr>
            <w:tcW w:w="9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01"/>
                <w:tab w:val="left" w:pos="892"/>
              </w:tabs>
              <w:spacing w:before="33" w:after="30" w:line="288" w:lineRule="auto"/>
              <w:jc w:val="right"/>
            </w:pPr>
            <w:r>
              <w:rPr>
                <w:rFonts w:ascii="Times New Roman" w:eastAsia="Times New Roman" w:hAnsi="Times New Roman" w:cs="Times New Roman"/>
                <w:b w:val="0"/>
                <w:i w:val="0"/>
                <w:color w:val="000000"/>
                <w:sz w:val="16"/>
                <w:u w:val="none"/>
              </w:rPr>
              <w:tab/>
              <w:t>24,998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1"/>
                <w:tab w:val="left" w:pos="832"/>
              </w:tabs>
              <w:spacing w:before="33" w:after="30" w:line="288" w:lineRule="auto"/>
              <w:jc w:val="right"/>
            </w:pPr>
            <w:r>
              <w:rPr>
                <w:rFonts w:ascii="Times New Roman" w:eastAsia="Times New Roman" w:hAnsi="Times New Roman" w:cs="Times New Roman"/>
                <w:b w:val="0"/>
                <w:i w:val="0"/>
                <w:color w:val="000000"/>
                <w:sz w:val="16"/>
                <w:u w:val="none"/>
              </w:rPr>
              <w:t>$</w:t>
              <w:tab/>
              <w:t>254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47"/>
              </w:tabs>
              <w:spacing w:before="33" w:after="30" w:line="288" w:lineRule="auto"/>
              <w:jc w:val="right"/>
            </w:pPr>
            <w:r>
              <w:rPr>
                <w:rFonts w:ascii="Times New Roman" w:eastAsia="Times New Roman" w:hAnsi="Times New Roman" w:cs="Times New Roman"/>
                <w:b w:val="0"/>
                <w:i w:val="0"/>
                <w:color w:val="000000"/>
                <w:sz w:val="16"/>
                <w:u w:val="none"/>
              </w:rPr>
              <w:t>$</w:t>
              <w:tab/>
              <w:t>(5,017)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6"/>
                <w:tab w:val="left" w:pos="937"/>
              </w:tabs>
              <w:spacing w:before="33" w:after="30" w:line="288" w:lineRule="auto"/>
              <w:jc w:val="right"/>
            </w:pPr>
            <w:r>
              <w:rPr>
                <w:rFonts w:ascii="Times New Roman" w:eastAsia="Times New Roman" w:hAnsi="Times New Roman" w:cs="Times New Roman"/>
                <w:b w:val="0"/>
                <w:i w:val="0"/>
                <w:color w:val="000000"/>
                <w:sz w:val="16"/>
                <w:u w:val="none"/>
              </w:rPr>
              <w:t>$</w:t>
              <w:tab/>
              <w:t>487,973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07"/>
              </w:tabs>
              <w:spacing w:before="33" w:after="30" w:line="288" w:lineRule="auto"/>
              <w:jc w:val="right"/>
            </w:pPr>
            <w:r>
              <w:rPr>
                <w:rFonts w:ascii="Times New Roman" w:eastAsia="Times New Roman" w:hAnsi="Times New Roman" w:cs="Times New Roman"/>
                <w:b w:val="0"/>
                <w:i w:val="0"/>
                <w:color w:val="000000"/>
                <w:sz w:val="16"/>
                <w:u w:val="none"/>
              </w:rPr>
              <w:t>$</w:t>
              <w:tab/>
              <w:t>(290,440)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47"/>
              </w:tabs>
              <w:spacing w:before="33" w:after="30" w:line="288" w:lineRule="auto"/>
              <w:jc w:val="right"/>
            </w:pPr>
            <w:r>
              <w:rPr>
                <w:rFonts w:ascii="Times New Roman" w:eastAsia="Times New Roman" w:hAnsi="Times New Roman" w:cs="Times New Roman"/>
                <w:b w:val="0"/>
                <w:i w:val="0"/>
                <w:color w:val="000000"/>
                <w:sz w:val="16"/>
                <w:u w:val="none"/>
              </w:rPr>
              <w:t>$</w:t>
              <w:tab/>
              <w:t>(1,115)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26"/>
                <w:tab w:val="left" w:pos="997"/>
              </w:tabs>
              <w:spacing w:before="33" w:after="30" w:line="288" w:lineRule="auto"/>
              <w:jc w:val="right"/>
            </w:pPr>
            <w:r>
              <w:rPr>
                <w:rFonts w:ascii="Times New Roman" w:eastAsia="Times New Roman" w:hAnsi="Times New Roman" w:cs="Times New Roman"/>
                <w:b w:val="0"/>
                <w:i w:val="0"/>
                <w:color w:val="000000"/>
                <w:sz w:val="16"/>
                <w:u w:val="none"/>
              </w:rPr>
              <w:t>$</w:t>
              <w:tab/>
              <w:t>191,655</w:t>
              <w:tab/>
            </w:r>
          </w:p>
        </w:tc>
      </w:tr>
      <w:tr>
        <w:tblPrEx>
          <w:tblW w:w="10800" w:type="dxa"/>
          <w:tblInd w:w="0" w:type="dxa"/>
          <w:tblLayout w:type="fixed"/>
        </w:tblPrEx>
        <w:trPr>
          <w:cantSplit/>
          <w:trHeight w:hRule="exact" w:val="42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Stock issued upon option exercise and vesting of restricted stock units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1"/>
                <w:tab w:val="left" w:pos="892"/>
              </w:tabs>
              <w:spacing w:before="53" w:after="30" w:line="288" w:lineRule="auto"/>
              <w:jc w:val="right"/>
            </w:pPr>
            <w:r>
              <w:rPr>
                <w:rFonts w:ascii="Times New Roman" w:eastAsia="Times New Roman" w:hAnsi="Times New Roman" w:cs="Times New Roman"/>
                <w:b w:val="0"/>
                <w:i w:val="0"/>
                <w:color w:val="000000"/>
                <w:sz w:val="16"/>
                <w:u w:val="none"/>
              </w:rPr>
              <w:tab/>
              <w:t>532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1"/>
                <w:tab w:val="left" w:pos="832"/>
              </w:tabs>
              <w:spacing w:before="53" w:after="30" w:line="288" w:lineRule="auto"/>
              <w:jc w:val="right"/>
            </w:pPr>
            <w:r>
              <w:rPr>
                <w:rFonts w:ascii="Times New Roman" w:eastAsia="Times New Roman" w:hAnsi="Times New Roman" w:cs="Times New Roman"/>
                <w:b w:val="0"/>
                <w:i w:val="0"/>
                <w:color w:val="000000"/>
                <w:sz w:val="16"/>
                <w:u w:val="none"/>
              </w:rPr>
              <w:tab/>
              <w:t>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46"/>
                <w:tab w:val="left" w:pos="937"/>
              </w:tabs>
              <w:spacing w:before="53" w:after="30" w:line="288" w:lineRule="auto"/>
              <w:jc w:val="right"/>
            </w:pPr>
            <w:r>
              <w:rPr>
                <w:rFonts w:ascii="Times New Roman" w:eastAsia="Times New Roman" w:hAnsi="Times New Roman" w:cs="Times New Roman"/>
                <w:b w:val="0"/>
                <w:i w:val="0"/>
                <w:color w:val="000000"/>
                <w:sz w:val="16"/>
                <w:u w:val="none"/>
              </w:rPr>
              <w:tab/>
              <w:t>688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6"/>
                <w:tab w:val="left" w:pos="997"/>
              </w:tabs>
              <w:spacing w:before="53" w:after="30" w:line="288" w:lineRule="auto"/>
              <w:jc w:val="right"/>
            </w:pPr>
            <w:r>
              <w:rPr>
                <w:rFonts w:ascii="Times New Roman" w:eastAsia="Times New Roman" w:hAnsi="Times New Roman" w:cs="Times New Roman"/>
                <w:b w:val="0"/>
                <w:i w:val="0"/>
                <w:color w:val="000000"/>
                <w:sz w:val="16"/>
                <w:u w:val="none"/>
              </w:rPr>
              <w:tab/>
              <w:t>694</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Stock issued, ESPP</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1"/>
                <w:tab w:val="left" w:pos="892"/>
              </w:tabs>
              <w:spacing w:before="53" w:after="30" w:line="288" w:lineRule="auto"/>
              <w:jc w:val="right"/>
            </w:pPr>
            <w:r>
              <w:rPr>
                <w:rFonts w:ascii="Times New Roman" w:eastAsia="Times New Roman" w:hAnsi="Times New Roman" w:cs="Times New Roman"/>
                <w:b w:val="0"/>
                <w:i w:val="0"/>
                <w:color w:val="000000"/>
                <w:sz w:val="16"/>
                <w:u w:val="none"/>
              </w:rPr>
              <w:tab/>
              <w:t>116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1"/>
                <w:tab w:val="left" w:pos="832"/>
              </w:tabs>
              <w:spacing w:before="53" w:after="30" w:line="288" w:lineRule="auto"/>
              <w:jc w:val="right"/>
            </w:pPr>
            <w:r>
              <w:rPr>
                <w:rFonts w:ascii="Times New Roman" w:eastAsia="Times New Roman" w:hAnsi="Times New Roman" w:cs="Times New Roman"/>
                <w:b w:val="0"/>
                <w:i w:val="0"/>
                <w:color w:val="000000"/>
                <w:sz w:val="16"/>
                <w:u w:val="none"/>
              </w:rPr>
              <w:tab/>
              <w:t>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46"/>
                <w:tab w:val="left" w:pos="937"/>
              </w:tabs>
              <w:spacing w:before="53" w:after="30" w:line="288" w:lineRule="auto"/>
              <w:jc w:val="right"/>
            </w:pPr>
            <w:r>
              <w:rPr>
                <w:rFonts w:ascii="Times New Roman" w:eastAsia="Times New Roman" w:hAnsi="Times New Roman" w:cs="Times New Roman"/>
                <w:b w:val="0"/>
                <w:i w:val="0"/>
                <w:color w:val="000000"/>
                <w:sz w:val="16"/>
                <w:u w:val="none"/>
              </w:rPr>
              <w:tab/>
              <w:t>675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6"/>
                <w:tab w:val="left" w:pos="997"/>
              </w:tabs>
              <w:spacing w:before="53" w:after="30" w:line="288" w:lineRule="auto"/>
              <w:jc w:val="right"/>
            </w:pPr>
            <w:r>
              <w:rPr>
                <w:rFonts w:ascii="Times New Roman" w:eastAsia="Times New Roman" w:hAnsi="Times New Roman" w:cs="Times New Roman"/>
                <w:b w:val="0"/>
                <w:i w:val="0"/>
                <w:color w:val="000000"/>
                <w:sz w:val="16"/>
                <w:u w:val="none"/>
              </w:rPr>
              <w:tab/>
              <w:t>676</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40"/>
              <w:jc w:val="left"/>
            </w:pPr>
            <w:r>
              <w:rPr>
                <w:rFonts w:ascii="Times New Roman" w:eastAsia="Times New Roman" w:hAnsi="Times New Roman" w:cs="Times New Roman"/>
                <w:b w:val="0"/>
                <w:i w:val="0"/>
                <w:color w:val="000000"/>
                <w:sz w:val="16"/>
                <w:u w:val="none"/>
              </w:rPr>
              <w:t>Stock issued for acquisitions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81"/>
                <w:tab w:val="left" w:pos="892"/>
              </w:tabs>
              <w:spacing w:before="53" w:after="30" w:line="240" w:lineRule="auto"/>
              <w:jc w:val="right"/>
            </w:pPr>
            <w:r>
              <w:rPr>
                <w:rFonts w:ascii="Times New Roman" w:eastAsia="Times New Roman" w:hAnsi="Times New Roman" w:cs="Times New Roman"/>
                <w:b w:val="0"/>
                <w:i w:val="0"/>
                <w:color w:val="000000"/>
                <w:sz w:val="16"/>
                <w:u w:val="none"/>
              </w:rPr>
              <w:tab/>
              <w:t>1,025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10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26"/>
                <w:tab w:val="left" w:pos="937"/>
              </w:tabs>
              <w:spacing w:before="53" w:after="30" w:line="240" w:lineRule="auto"/>
              <w:jc w:val="right"/>
            </w:pPr>
            <w:r>
              <w:rPr>
                <w:rFonts w:ascii="Times New Roman" w:eastAsia="Times New Roman" w:hAnsi="Times New Roman" w:cs="Times New Roman"/>
                <w:b w:val="0"/>
                <w:i w:val="0"/>
                <w:color w:val="000000"/>
                <w:sz w:val="16"/>
                <w:u w:val="none"/>
              </w:rPr>
              <w:tab/>
              <w:t>9,069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6"/>
                <w:tab w:val="left" w:pos="997"/>
              </w:tabs>
              <w:spacing w:before="53" w:after="30" w:line="240" w:lineRule="auto"/>
              <w:jc w:val="right"/>
            </w:pPr>
            <w:r>
              <w:rPr>
                <w:rFonts w:ascii="Times New Roman" w:eastAsia="Times New Roman" w:hAnsi="Times New Roman" w:cs="Times New Roman"/>
                <w:b w:val="0"/>
                <w:i w:val="0"/>
                <w:color w:val="000000"/>
                <w:sz w:val="16"/>
                <w:u w:val="none"/>
              </w:rPr>
              <w:tab/>
              <w:t>9,079</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Share based compensation</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26"/>
                <w:tab w:val="left" w:pos="937"/>
              </w:tabs>
              <w:spacing w:before="53" w:after="30" w:line="288" w:lineRule="auto"/>
              <w:jc w:val="right"/>
            </w:pPr>
            <w:r>
              <w:rPr>
                <w:rFonts w:ascii="Times New Roman" w:eastAsia="Times New Roman" w:hAnsi="Times New Roman" w:cs="Times New Roman"/>
                <w:b w:val="0"/>
                <w:i w:val="0"/>
                <w:color w:val="000000"/>
                <w:sz w:val="16"/>
                <w:u w:val="none"/>
              </w:rPr>
              <w:tab/>
              <w:t>6,444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6"/>
                <w:tab w:val="left" w:pos="997"/>
              </w:tabs>
              <w:spacing w:before="53" w:after="30" w:line="288" w:lineRule="auto"/>
              <w:jc w:val="right"/>
            </w:pPr>
            <w:r>
              <w:rPr>
                <w:rFonts w:ascii="Times New Roman" w:eastAsia="Times New Roman" w:hAnsi="Times New Roman" w:cs="Times New Roman"/>
                <w:b w:val="0"/>
                <w:i w:val="0"/>
                <w:color w:val="000000"/>
                <w:sz w:val="16"/>
                <w:u w:val="none"/>
              </w:rPr>
              <w:tab/>
              <w:t>6,444</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Retirement and reissuance of treasury shares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7"/>
              </w:tabs>
              <w:spacing w:before="53" w:after="30" w:line="288" w:lineRule="auto"/>
              <w:jc w:val="right"/>
            </w:pPr>
            <w:r>
              <w:rPr>
                <w:rFonts w:ascii="Times New Roman" w:eastAsia="Times New Roman" w:hAnsi="Times New Roman" w:cs="Times New Roman"/>
                <w:b w:val="0"/>
                <w:i w:val="0"/>
                <w:color w:val="000000"/>
                <w:sz w:val="16"/>
                <w:u w:val="none"/>
              </w:rPr>
              <w:tab/>
              <w:t>(4)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21"/>
                <w:tab w:val="left" w:pos="832"/>
              </w:tabs>
              <w:spacing w:before="53" w:after="30" w:line="288" w:lineRule="auto"/>
              <w:jc w:val="right"/>
            </w:pPr>
            <w:r>
              <w:rPr>
                <w:rFonts w:ascii="Times New Roman" w:eastAsia="Times New Roman" w:hAnsi="Times New Roman" w:cs="Times New Roman"/>
                <w:b w:val="0"/>
                <w:i w:val="0"/>
                <w:color w:val="000000"/>
                <w:sz w:val="16"/>
                <w:u w:val="none"/>
              </w:rPr>
              <w:tab/>
              <w:t>5,017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6"/>
                <w:tab w:val="left" w:pos="937"/>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67"/>
              </w:tabs>
              <w:spacing w:before="53" w:after="30" w:line="288" w:lineRule="auto"/>
              <w:jc w:val="right"/>
            </w:pPr>
            <w:r>
              <w:rPr>
                <w:rFonts w:ascii="Times New Roman" w:eastAsia="Times New Roman" w:hAnsi="Times New Roman" w:cs="Times New Roman"/>
                <w:b w:val="0"/>
                <w:i w:val="0"/>
                <w:color w:val="000000"/>
                <w:sz w:val="16"/>
                <w:u w:val="none"/>
              </w:rPr>
              <w:tab/>
              <w:t>(5,013)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86"/>
                <w:tab w:val="left" w:pos="997"/>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Net loss</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6"/>
                <w:tab w:val="left" w:pos="937"/>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387"/>
              </w:tabs>
              <w:spacing w:before="53" w:after="30" w:line="288" w:lineRule="auto"/>
              <w:jc w:val="right"/>
            </w:pPr>
            <w:r>
              <w:rPr>
                <w:rFonts w:ascii="Times New Roman" w:eastAsia="Times New Roman" w:hAnsi="Times New Roman" w:cs="Times New Roman"/>
                <w:b w:val="0"/>
                <w:i w:val="0"/>
                <w:color w:val="000000"/>
                <w:sz w:val="16"/>
                <w:u w:val="none"/>
              </w:rPr>
              <w:tab/>
              <w:t>(11,773)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32"/>
              </w:tabs>
              <w:spacing w:before="53" w:after="30" w:line="288" w:lineRule="auto"/>
              <w:jc w:val="right"/>
            </w:pPr>
            <w:r>
              <w:rPr>
                <w:rFonts w:ascii="Times New Roman" w:eastAsia="Times New Roman" w:hAnsi="Times New Roman" w:cs="Times New Roman"/>
                <w:b w:val="0"/>
                <w:i w:val="0"/>
                <w:color w:val="000000"/>
                <w:sz w:val="16"/>
                <w:u w:val="none"/>
              </w:rPr>
              <w:tab/>
              <w:t>(11,773)</w:t>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Other comprehensive income</w:t>
            </w:r>
          </w:p>
        </w:tc>
        <w:tc>
          <w:tcPr>
            <w:tcW w:w="9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6"/>
                <w:tab w:val="left" w:pos="937"/>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41"/>
                <w:tab w:val="left" w:pos="1132"/>
              </w:tabs>
              <w:spacing w:before="53" w:after="30" w:line="288" w:lineRule="auto"/>
              <w:jc w:val="right"/>
            </w:pPr>
            <w:r>
              <w:rPr>
                <w:rFonts w:ascii="Times New Roman" w:eastAsia="Times New Roman" w:hAnsi="Times New Roman" w:cs="Times New Roman"/>
                <w:b w:val="0"/>
                <w:i w:val="0"/>
                <w:color w:val="000000"/>
                <w:sz w:val="16"/>
                <w:u w:val="none"/>
              </w:rPr>
              <w:tab/>
              <w:t>540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06"/>
                <w:tab w:val="left" w:pos="997"/>
              </w:tabs>
              <w:spacing w:before="53" w:after="30" w:line="288" w:lineRule="auto"/>
              <w:jc w:val="right"/>
            </w:pPr>
            <w:r>
              <w:rPr>
                <w:rFonts w:ascii="Times New Roman" w:eastAsia="Times New Roman" w:hAnsi="Times New Roman" w:cs="Times New Roman"/>
                <w:b w:val="0"/>
                <w:i w:val="0"/>
                <w:color w:val="000000"/>
                <w:sz w:val="16"/>
                <w:u w:val="none"/>
              </w:rPr>
              <w:tab/>
              <w:t>540</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Balance at December 31, 2024</w:t>
            </w:r>
          </w:p>
        </w:tc>
        <w:tc>
          <w:tcPr>
            <w:tcW w:w="9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401"/>
                <w:tab w:val="left" w:pos="892"/>
              </w:tabs>
              <w:spacing w:before="33" w:after="30" w:line="288" w:lineRule="auto"/>
              <w:jc w:val="right"/>
            </w:pPr>
            <w:r>
              <w:rPr>
                <w:rFonts w:ascii="Times New Roman" w:eastAsia="Times New Roman" w:hAnsi="Times New Roman" w:cs="Times New Roman"/>
                <w:b w:val="0"/>
                <w:i w:val="0"/>
                <w:color w:val="000000"/>
                <w:sz w:val="16"/>
                <w:u w:val="none"/>
              </w:rPr>
              <w:tab/>
              <w:t>26,671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41"/>
                <w:tab w:val="left" w:pos="832"/>
              </w:tabs>
              <w:spacing w:before="33" w:after="30" w:line="288" w:lineRule="auto"/>
              <w:jc w:val="right"/>
            </w:pPr>
            <w:r>
              <w:rPr>
                <w:rFonts w:ascii="Times New Roman" w:eastAsia="Times New Roman" w:hAnsi="Times New Roman" w:cs="Times New Roman"/>
                <w:b w:val="0"/>
                <w:i w:val="0"/>
                <w:color w:val="000000"/>
                <w:sz w:val="16"/>
                <w:u w:val="none"/>
              </w:rPr>
              <w:t>$</w:t>
              <w:tab/>
              <w:t>267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33" w:after="30" w:line="288"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66"/>
                <w:tab w:val="left" w:pos="937"/>
              </w:tabs>
              <w:spacing w:before="33" w:after="30" w:line="288" w:lineRule="auto"/>
              <w:jc w:val="right"/>
            </w:pPr>
            <w:r>
              <w:rPr>
                <w:rFonts w:ascii="Times New Roman" w:eastAsia="Times New Roman" w:hAnsi="Times New Roman" w:cs="Times New Roman"/>
                <w:b w:val="0"/>
                <w:i w:val="0"/>
                <w:color w:val="000000"/>
                <w:sz w:val="16"/>
                <w:u w:val="none"/>
              </w:rPr>
              <w:t>$</w:t>
              <w:tab/>
              <w:t>504,849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07"/>
              </w:tabs>
              <w:spacing w:before="33" w:after="30" w:line="288" w:lineRule="auto"/>
              <w:jc w:val="right"/>
            </w:pPr>
            <w:r>
              <w:rPr>
                <w:rFonts w:ascii="Times New Roman" w:eastAsia="Times New Roman" w:hAnsi="Times New Roman" w:cs="Times New Roman"/>
                <w:b w:val="0"/>
                <w:i w:val="0"/>
                <w:color w:val="000000"/>
                <w:sz w:val="16"/>
                <w:u w:val="none"/>
              </w:rPr>
              <w:t>$</w:t>
              <w:tab/>
              <w:t>(307,226)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767"/>
              </w:tabs>
              <w:spacing w:before="33" w:after="30" w:line="288" w:lineRule="auto"/>
              <w:jc w:val="right"/>
            </w:pPr>
            <w:r>
              <w:rPr>
                <w:rFonts w:ascii="Times New Roman" w:eastAsia="Times New Roman" w:hAnsi="Times New Roman" w:cs="Times New Roman"/>
                <w:b w:val="0"/>
                <w:i w:val="0"/>
                <w:color w:val="000000"/>
                <w:sz w:val="16"/>
                <w:u w:val="none"/>
              </w:rPr>
              <w:t>$</w:t>
              <w:tab/>
              <w:t>(575)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426"/>
                <w:tab w:val="left" w:pos="997"/>
              </w:tabs>
              <w:spacing w:before="33" w:after="30" w:line="288" w:lineRule="auto"/>
              <w:jc w:val="right"/>
            </w:pPr>
            <w:r>
              <w:rPr>
                <w:rFonts w:ascii="Times New Roman" w:eastAsia="Times New Roman" w:hAnsi="Times New Roman" w:cs="Times New Roman"/>
                <w:b w:val="0"/>
                <w:i w:val="0"/>
                <w:color w:val="000000"/>
                <w:sz w:val="16"/>
                <w:u w:val="none"/>
              </w:rPr>
              <w:t>$</w:t>
              <w:tab/>
              <w:t>197,315</w:t>
              <w:tab/>
            </w:r>
          </w:p>
        </w:tc>
      </w:tr>
      <w:tr>
        <w:tblPrEx>
          <w:tblW w:w="10800" w:type="dxa"/>
          <w:tblInd w:w="0" w:type="dxa"/>
          <w:tblLayout w:type="fixed"/>
        </w:tblPrEx>
        <w:trPr>
          <w:cantSplit/>
          <w:trHeight w:hRule="exact" w:val="315"/>
        </w:trPr>
        <w:tc>
          <w:tcPr>
            <w:tcW w:w="33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6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800" w:type="dxa"/>
          <w:tblInd w:w="0" w:type="dxa"/>
          <w:tblLayout w:type="fixed"/>
        </w:tblPrEx>
        <w:trPr>
          <w:cantSplit/>
          <w:trHeight w:hRule="exact" w:val="42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Stock issued upon option exercise and vesting of restricted stock units</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1"/>
                <w:tab w:val="left" w:pos="892"/>
              </w:tabs>
              <w:spacing w:before="53" w:after="30" w:line="288" w:lineRule="auto"/>
              <w:jc w:val="right"/>
            </w:pPr>
            <w:r>
              <w:rPr>
                <w:rFonts w:ascii="Times New Roman" w:eastAsia="Times New Roman" w:hAnsi="Times New Roman" w:cs="Times New Roman"/>
                <w:b w:val="0"/>
                <w:i w:val="0"/>
                <w:color w:val="000000"/>
                <w:sz w:val="16"/>
                <w:u w:val="none"/>
              </w:rPr>
              <w:tab/>
              <w:t>829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1"/>
                <w:tab w:val="left" w:pos="832"/>
              </w:tabs>
              <w:spacing w:before="53" w:after="30" w:line="288" w:lineRule="auto"/>
              <w:jc w:val="right"/>
            </w:pPr>
            <w:r>
              <w:rPr>
                <w:rFonts w:ascii="Times New Roman" w:eastAsia="Times New Roman" w:hAnsi="Times New Roman" w:cs="Times New Roman"/>
                <w:b w:val="0"/>
                <w:i w:val="0"/>
                <w:color w:val="000000"/>
                <w:sz w:val="16"/>
                <w:u w:val="none"/>
              </w:rPr>
              <w:tab/>
              <w:t>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46"/>
                <w:tab w:val="left" w:pos="937"/>
              </w:tabs>
              <w:spacing w:before="53" w:after="30" w:line="288" w:lineRule="auto"/>
              <w:jc w:val="right"/>
            </w:pPr>
            <w:r>
              <w:rPr>
                <w:rFonts w:ascii="Times New Roman" w:eastAsia="Times New Roman" w:hAnsi="Times New Roman" w:cs="Times New Roman"/>
                <w:b w:val="0"/>
                <w:i w:val="0"/>
                <w:color w:val="000000"/>
                <w:sz w:val="16"/>
                <w:u w:val="none"/>
              </w:rPr>
              <w:tab/>
              <w:t>589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6"/>
                <w:tab w:val="left" w:pos="997"/>
              </w:tabs>
              <w:spacing w:before="53" w:after="30" w:line="288" w:lineRule="auto"/>
              <w:jc w:val="right"/>
            </w:pPr>
            <w:r>
              <w:rPr>
                <w:rFonts w:ascii="Times New Roman" w:eastAsia="Times New Roman" w:hAnsi="Times New Roman" w:cs="Times New Roman"/>
                <w:b w:val="0"/>
                <w:i w:val="0"/>
                <w:color w:val="000000"/>
                <w:sz w:val="16"/>
                <w:u w:val="none"/>
              </w:rPr>
              <w:tab/>
              <w:t>597</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Stock issued, ESPP</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1"/>
                <w:tab w:val="left" w:pos="892"/>
              </w:tabs>
              <w:spacing w:before="53" w:after="30" w:line="288" w:lineRule="auto"/>
              <w:jc w:val="right"/>
            </w:pPr>
            <w:r>
              <w:rPr>
                <w:rFonts w:ascii="Times New Roman" w:eastAsia="Times New Roman" w:hAnsi="Times New Roman" w:cs="Times New Roman"/>
                <w:b w:val="0"/>
                <w:i w:val="0"/>
                <w:color w:val="000000"/>
                <w:sz w:val="16"/>
                <w:u w:val="none"/>
              </w:rPr>
              <w:tab/>
              <w:t>114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1"/>
                <w:tab w:val="left" w:pos="832"/>
              </w:tabs>
              <w:spacing w:before="53" w:after="30" w:line="288" w:lineRule="auto"/>
              <w:jc w:val="right"/>
            </w:pPr>
            <w:r>
              <w:rPr>
                <w:rFonts w:ascii="Times New Roman" w:eastAsia="Times New Roman" w:hAnsi="Times New Roman" w:cs="Times New Roman"/>
                <w:b w:val="0"/>
                <w:i w:val="0"/>
                <w:color w:val="000000"/>
                <w:sz w:val="16"/>
                <w:u w:val="none"/>
              </w:rPr>
              <w:tab/>
              <w:t>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46"/>
                <w:tab w:val="left" w:pos="937"/>
              </w:tabs>
              <w:spacing w:before="53" w:after="30" w:line="288" w:lineRule="auto"/>
              <w:jc w:val="right"/>
            </w:pPr>
            <w:r>
              <w:rPr>
                <w:rFonts w:ascii="Times New Roman" w:eastAsia="Times New Roman" w:hAnsi="Times New Roman" w:cs="Times New Roman"/>
                <w:b w:val="0"/>
                <w:i w:val="0"/>
                <w:color w:val="000000"/>
                <w:sz w:val="16"/>
                <w:u w:val="none"/>
              </w:rPr>
              <w:tab/>
              <w:t>738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6"/>
                <w:tab w:val="left" w:pos="997"/>
              </w:tabs>
              <w:spacing w:before="53" w:after="30" w:line="288" w:lineRule="auto"/>
              <w:jc w:val="right"/>
            </w:pPr>
            <w:r>
              <w:rPr>
                <w:rFonts w:ascii="Times New Roman" w:eastAsia="Times New Roman" w:hAnsi="Times New Roman" w:cs="Times New Roman"/>
                <w:b w:val="0"/>
                <w:i w:val="0"/>
                <w:color w:val="000000"/>
                <w:sz w:val="16"/>
                <w:u w:val="none"/>
              </w:rPr>
              <w:tab/>
              <w:t>739</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Stock issued for acquisitions</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1"/>
                <w:tab w:val="left" w:pos="892"/>
              </w:tabs>
              <w:spacing w:before="53" w:after="30" w:line="288" w:lineRule="auto"/>
              <w:jc w:val="right"/>
            </w:pPr>
            <w:r>
              <w:rPr>
                <w:rFonts w:ascii="Times New Roman" w:eastAsia="Times New Roman" w:hAnsi="Times New Roman" w:cs="Times New Roman"/>
                <w:b w:val="0"/>
                <w:i w:val="0"/>
                <w:color w:val="000000"/>
                <w:sz w:val="16"/>
                <w:u w:val="none"/>
              </w:rPr>
              <w:tab/>
              <w:t>124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1"/>
                <w:tab w:val="left" w:pos="832"/>
              </w:tabs>
              <w:spacing w:before="53" w:after="30" w:line="288" w:lineRule="auto"/>
              <w:jc w:val="right"/>
            </w:pPr>
            <w:r>
              <w:rPr>
                <w:rFonts w:ascii="Times New Roman" w:eastAsia="Times New Roman" w:hAnsi="Times New Roman" w:cs="Times New Roman"/>
                <w:b w:val="0"/>
                <w:i w:val="0"/>
                <w:color w:val="000000"/>
                <w:sz w:val="16"/>
                <w:u w:val="none"/>
              </w:rPr>
              <w:tab/>
              <w:t>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46"/>
                <w:tab w:val="left" w:pos="937"/>
              </w:tabs>
              <w:spacing w:before="53" w:after="30" w:line="288" w:lineRule="auto"/>
              <w:jc w:val="right"/>
            </w:pPr>
            <w:r>
              <w:rPr>
                <w:rFonts w:ascii="Times New Roman" w:eastAsia="Times New Roman" w:hAnsi="Times New Roman" w:cs="Times New Roman"/>
                <w:b w:val="0"/>
                <w:i w:val="0"/>
                <w:color w:val="000000"/>
                <w:sz w:val="16"/>
                <w:u w:val="none"/>
              </w:rPr>
              <w:tab/>
              <w:t>955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6"/>
                <w:tab w:val="left" w:pos="997"/>
              </w:tabs>
              <w:spacing w:before="53" w:after="30" w:line="288" w:lineRule="auto"/>
              <w:jc w:val="right"/>
            </w:pPr>
            <w:r>
              <w:rPr>
                <w:rFonts w:ascii="Times New Roman" w:eastAsia="Times New Roman" w:hAnsi="Times New Roman" w:cs="Times New Roman"/>
                <w:b w:val="0"/>
                <w:i w:val="0"/>
                <w:color w:val="000000"/>
                <w:sz w:val="16"/>
                <w:u w:val="none"/>
              </w:rPr>
              <w:tab/>
              <w:t>956</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Stock issued for debt payment</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1"/>
                <w:tab w:val="left" w:pos="892"/>
              </w:tabs>
              <w:spacing w:before="53" w:after="30" w:line="288" w:lineRule="auto"/>
              <w:jc w:val="right"/>
            </w:pPr>
            <w:r>
              <w:rPr>
                <w:rFonts w:ascii="Times New Roman" w:eastAsia="Times New Roman" w:hAnsi="Times New Roman" w:cs="Times New Roman"/>
                <w:b w:val="0"/>
                <w:i w:val="0"/>
                <w:color w:val="000000"/>
                <w:sz w:val="16"/>
                <w:u w:val="none"/>
              </w:rPr>
              <w:tab/>
              <w:t>338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1"/>
                <w:tab w:val="left" w:pos="832"/>
              </w:tabs>
              <w:spacing w:before="53" w:after="30" w:line="288" w:lineRule="auto"/>
              <w:jc w:val="right"/>
            </w:pPr>
            <w:r>
              <w:rPr>
                <w:rFonts w:ascii="Times New Roman" w:eastAsia="Times New Roman" w:hAnsi="Times New Roman" w:cs="Times New Roman"/>
                <w:b w:val="0"/>
                <w:i w:val="0"/>
                <w:color w:val="000000"/>
                <w:sz w:val="16"/>
                <w:u w:val="none"/>
              </w:rPr>
              <w:tab/>
              <w:t>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26"/>
                <w:tab w:val="left" w:pos="937"/>
              </w:tabs>
              <w:spacing w:before="53" w:after="30" w:line="288" w:lineRule="auto"/>
              <w:jc w:val="right"/>
            </w:pPr>
            <w:r>
              <w:rPr>
                <w:rFonts w:ascii="Times New Roman" w:eastAsia="Times New Roman" w:hAnsi="Times New Roman" w:cs="Times New Roman"/>
                <w:b w:val="0"/>
                <w:i w:val="0"/>
                <w:color w:val="000000"/>
                <w:sz w:val="16"/>
                <w:u w:val="none"/>
              </w:rPr>
              <w:tab/>
              <w:t>2,562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6"/>
                <w:tab w:val="left" w:pos="997"/>
              </w:tabs>
              <w:spacing w:before="53" w:after="30" w:line="288" w:lineRule="auto"/>
              <w:jc w:val="right"/>
            </w:pPr>
            <w:r>
              <w:rPr>
                <w:rFonts w:ascii="Times New Roman" w:eastAsia="Times New Roman" w:hAnsi="Times New Roman" w:cs="Times New Roman"/>
                <w:b w:val="0"/>
                <w:i w:val="0"/>
                <w:color w:val="000000"/>
                <w:sz w:val="16"/>
                <w:u w:val="none"/>
              </w:rPr>
              <w:tab/>
              <w:t>2,566</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Share based compensation</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26"/>
                <w:tab w:val="left" w:pos="937"/>
              </w:tabs>
              <w:spacing w:before="53" w:after="30" w:line="288" w:lineRule="auto"/>
              <w:jc w:val="right"/>
            </w:pPr>
            <w:r>
              <w:rPr>
                <w:rFonts w:ascii="Times New Roman" w:eastAsia="Times New Roman" w:hAnsi="Times New Roman" w:cs="Times New Roman"/>
                <w:b w:val="0"/>
                <w:i w:val="0"/>
                <w:color w:val="000000"/>
                <w:sz w:val="16"/>
                <w:u w:val="none"/>
              </w:rPr>
              <w:tab/>
              <w:t>7,739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6"/>
                <w:tab w:val="left" w:pos="997"/>
              </w:tabs>
              <w:spacing w:before="53" w:after="30" w:line="288" w:lineRule="auto"/>
              <w:jc w:val="right"/>
            </w:pPr>
            <w:r>
              <w:rPr>
                <w:rFonts w:ascii="Times New Roman" w:eastAsia="Times New Roman" w:hAnsi="Times New Roman" w:cs="Times New Roman"/>
                <w:b w:val="0"/>
                <w:i w:val="0"/>
                <w:color w:val="000000"/>
                <w:sz w:val="16"/>
                <w:u w:val="none"/>
              </w:rPr>
              <w:tab/>
              <w:t>7,739</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Net loss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6"/>
                <w:tab w:val="left" w:pos="937"/>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387"/>
              </w:tabs>
              <w:spacing w:before="53" w:after="30" w:line="288" w:lineRule="auto"/>
              <w:jc w:val="right"/>
            </w:pPr>
            <w:r>
              <w:rPr>
                <w:rFonts w:ascii="Times New Roman" w:eastAsia="Times New Roman" w:hAnsi="Times New Roman" w:cs="Times New Roman"/>
                <w:b w:val="0"/>
                <w:i w:val="0"/>
                <w:color w:val="000000"/>
                <w:sz w:val="16"/>
                <w:u w:val="none"/>
              </w:rPr>
              <w:tab/>
              <w:t>(13,126)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32"/>
              </w:tabs>
              <w:spacing w:before="53" w:after="30" w:line="288" w:lineRule="auto"/>
              <w:jc w:val="right"/>
            </w:pPr>
            <w:r>
              <w:rPr>
                <w:rFonts w:ascii="Times New Roman" w:eastAsia="Times New Roman" w:hAnsi="Times New Roman" w:cs="Times New Roman"/>
                <w:b w:val="0"/>
                <w:i w:val="0"/>
                <w:color w:val="000000"/>
                <w:sz w:val="16"/>
                <w:u w:val="none"/>
              </w:rPr>
              <w:tab/>
              <w:t>(13,126)</w:t>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Other comprehensive income</w:t>
            </w:r>
          </w:p>
        </w:tc>
        <w:tc>
          <w:tcPr>
            <w:tcW w:w="9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26"/>
                <w:tab w:val="left" w:pos="937"/>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21"/>
                <w:tab w:val="left" w:pos="1132"/>
              </w:tabs>
              <w:spacing w:before="53" w:after="30" w:line="288" w:lineRule="auto"/>
              <w:jc w:val="right"/>
            </w:pPr>
            <w:r>
              <w:rPr>
                <w:rFonts w:ascii="Times New Roman" w:eastAsia="Times New Roman" w:hAnsi="Times New Roman" w:cs="Times New Roman"/>
                <w:b w:val="0"/>
                <w:i w:val="0"/>
                <w:color w:val="000000"/>
                <w:sz w:val="16"/>
                <w:u w:val="none"/>
              </w:rPr>
              <w:tab/>
              <w:t>1,010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86"/>
                <w:tab w:val="left" w:pos="997"/>
              </w:tabs>
              <w:spacing w:before="53" w:after="30" w:line="288" w:lineRule="auto"/>
              <w:jc w:val="right"/>
            </w:pPr>
            <w:r>
              <w:rPr>
                <w:rFonts w:ascii="Times New Roman" w:eastAsia="Times New Roman" w:hAnsi="Times New Roman" w:cs="Times New Roman"/>
                <w:b w:val="0"/>
                <w:i w:val="0"/>
                <w:color w:val="000000"/>
                <w:sz w:val="16"/>
                <w:u w:val="none"/>
              </w:rPr>
              <w:tab/>
              <w:t>1,010</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88" w:lineRule="auto"/>
              <w:jc w:val="left"/>
            </w:pPr>
            <w:r>
              <w:rPr>
                <w:rFonts w:ascii="Times New Roman" w:eastAsia="Times New Roman" w:hAnsi="Times New Roman" w:cs="Times New Roman"/>
                <w:b w:val="0"/>
                <w:i w:val="0"/>
                <w:color w:val="000000"/>
                <w:sz w:val="16"/>
                <w:u w:val="none"/>
              </w:rPr>
              <w:t>Balance at December 31, 2025</w:t>
            </w:r>
          </w:p>
        </w:tc>
        <w:tc>
          <w:tcPr>
            <w:tcW w:w="9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401"/>
                <w:tab w:val="left" w:pos="892"/>
              </w:tabs>
              <w:spacing w:before="33" w:after="30" w:line="288" w:lineRule="auto"/>
              <w:jc w:val="right"/>
            </w:pPr>
            <w:r>
              <w:rPr>
                <w:rFonts w:ascii="Times New Roman" w:eastAsia="Times New Roman" w:hAnsi="Times New Roman" w:cs="Times New Roman"/>
                <w:b w:val="0"/>
                <w:i w:val="0"/>
                <w:color w:val="000000"/>
                <w:sz w:val="16"/>
                <w:u w:val="none"/>
              </w:rPr>
              <w:tab/>
              <w:t>28,076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541"/>
                <w:tab w:val="left" w:pos="832"/>
              </w:tabs>
              <w:spacing w:before="33" w:after="30" w:line="288" w:lineRule="auto"/>
              <w:jc w:val="right"/>
            </w:pPr>
            <w:r>
              <w:rPr>
                <w:rFonts w:ascii="Times New Roman" w:eastAsia="Times New Roman" w:hAnsi="Times New Roman" w:cs="Times New Roman"/>
                <w:b w:val="0"/>
                <w:i w:val="0"/>
                <w:color w:val="000000"/>
                <w:sz w:val="16"/>
                <w:u w:val="none"/>
              </w:rPr>
              <w:t>$</w:t>
              <w:tab/>
              <w:t>281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621"/>
                <w:tab w:val="left" w:pos="832"/>
              </w:tabs>
              <w:spacing w:before="33" w:after="30" w:line="288"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0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366"/>
                <w:tab w:val="left" w:pos="937"/>
              </w:tabs>
              <w:spacing w:before="33" w:after="30" w:line="288" w:lineRule="auto"/>
              <w:jc w:val="right"/>
            </w:pPr>
            <w:r>
              <w:rPr>
                <w:rFonts w:ascii="Times New Roman" w:eastAsia="Times New Roman" w:hAnsi="Times New Roman" w:cs="Times New Roman"/>
                <w:b w:val="0"/>
                <w:i w:val="0"/>
                <w:color w:val="000000"/>
                <w:sz w:val="16"/>
                <w:u w:val="none"/>
              </w:rPr>
              <w:t>$</w:t>
              <w:tab/>
              <w:t>517,432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02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307"/>
              </w:tabs>
              <w:spacing w:before="33" w:after="30" w:line="288" w:lineRule="auto"/>
              <w:jc w:val="right"/>
            </w:pPr>
            <w:r>
              <w:rPr>
                <w:rFonts w:ascii="Times New Roman" w:eastAsia="Times New Roman" w:hAnsi="Times New Roman" w:cs="Times New Roman"/>
                <w:b w:val="0"/>
                <w:i w:val="0"/>
                <w:color w:val="000000"/>
                <w:sz w:val="16"/>
                <w:u w:val="none"/>
              </w:rPr>
              <w:t>$</w:t>
              <w:tab/>
              <w:t>(320,352)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841"/>
                <w:tab w:val="left" w:pos="1132"/>
              </w:tabs>
              <w:spacing w:before="33" w:after="30" w:line="288" w:lineRule="auto"/>
              <w:jc w:val="right"/>
            </w:pPr>
            <w:r>
              <w:rPr>
                <w:rFonts w:ascii="Times New Roman" w:eastAsia="Times New Roman" w:hAnsi="Times New Roman" w:cs="Times New Roman"/>
                <w:b w:val="0"/>
                <w:i w:val="0"/>
                <w:color w:val="000000"/>
                <w:sz w:val="16"/>
                <w:u w:val="none"/>
              </w:rPr>
              <w:t>$</w:t>
              <w:tab/>
              <w:t>435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0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426"/>
                <w:tab w:val="left" w:pos="997"/>
              </w:tabs>
              <w:spacing w:before="33" w:after="30" w:line="288" w:lineRule="auto"/>
              <w:jc w:val="right"/>
            </w:pPr>
            <w:r>
              <w:rPr>
                <w:rFonts w:ascii="Times New Roman" w:eastAsia="Times New Roman" w:hAnsi="Times New Roman" w:cs="Times New Roman"/>
                <w:b w:val="0"/>
                <w:i w:val="0"/>
                <w:color w:val="000000"/>
                <w:sz w:val="16"/>
                <w:u w:val="none"/>
              </w:rPr>
              <w:t>$</w:t>
              <w:tab/>
              <w:t>197,796</w:t>
              <w:tab/>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 </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Consolidated Financial Statements.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pgSz w:w="12240" w:h="15840"/>
          <w:pgMar w:top="855" w:right="720" w:bottom="855" w:left="72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i w:val="0"/>
          <w:sz w:val="20"/>
        </w:rPr>
      </w:pPr>
      <w:bookmarkStart w:id="25" w:name="Section26"/>
      <w:bookmarkEnd w:id="25"/>
      <w:r>
        <w:rPr>
          <w:rFonts w:ascii="Times New Roman" w:eastAsia="Times New Roman" w:hAnsi="Times New Roman" w:cs="Times New Roman"/>
          <w:b/>
          <w:i w:val="0"/>
          <w:sz w:val="20"/>
        </w:rPr>
        <w:t>ASURE SOFTWARE, INC.</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CONSOLIDATED STATEMENTS OF CASH FLOWS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575"/>
        <w:gridCol w:w="1305"/>
        <w:gridCol w:w="75"/>
        <w:gridCol w:w="1305"/>
      </w:tblGrid>
      <w:tr>
        <w:tblPrEx>
          <w:tblW w:w="10260" w:type="dxa"/>
          <w:tblInd w:w="0" w:type="dxa"/>
          <w:tblLayout w:type="fixed"/>
        </w:tblPrEx>
        <w:trPr>
          <w:cantSplit/>
          <w:trHeight w:hRule="exact" w:val="255"/>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68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Year Ended December 31,</w:t>
            </w:r>
          </w:p>
        </w:tc>
      </w:tr>
      <w:tr>
        <w:tblPrEx>
          <w:tblW w:w="10260" w:type="dxa"/>
          <w:tblInd w:w="0" w:type="dxa"/>
          <w:tblLayout w:type="fixed"/>
        </w:tblPrEx>
        <w:trPr>
          <w:cantSplit/>
          <w:trHeight w:hRule="exact" w:val="255"/>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center"/>
            </w:pPr>
            <w:r>
              <w:rPr>
                <w:rFonts w:ascii="Times New Roman" w:eastAsia="Times New Roman" w:hAnsi="Times New Roman" w:cs="Times New Roman"/>
                <w:b/>
                <w:i w:val="0"/>
                <w:color w:val="000000"/>
                <w:sz w:val="16"/>
                <w:u w:val="none"/>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center"/>
            </w:pPr>
            <w:r>
              <w:rPr>
                <w:rFonts w:ascii="Times New Roman" w:eastAsia="Times New Roman" w:hAnsi="Times New Roman" w:cs="Times New Roman"/>
                <w:b/>
                <w:i w:val="0"/>
                <w:color w:val="000000"/>
                <w:sz w:val="16"/>
                <w:u w:val="none"/>
              </w:rPr>
              <w:t>2024</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Cash flows from operating activities:</w:t>
            </w: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Net loss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w:t>
              <w:tab/>
              <w:t>(13,126)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w:t>
              <w:tab/>
              <w:t>(11,773)</w:t>
            </w:r>
          </w:p>
        </w:tc>
      </w:tr>
      <w:tr>
        <w:tblPrEx>
          <w:tblW w:w="10260" w:type="dxa"/>
          <w:tblInd w:w="0" w:type="dxa"/>
          <w:tblLayout w:type="fixed"/>
        </w:tblPrEx>
        <w:trPr>
          <w:cantSplit/>
          <w:trHeight w:hRule="exact" w:val="24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25"/>
              <w:jc w:val="left"/>
            </w:pPr>
            <w:r>
              <w:rPr>
                <w:rFonts w:ascii="Times New Roman" w:eastAsia="Times New Roman" w:hAnsi="Times New Roman" w:cs="Times New Roman"/>
                <w:b w:val="0"/>
                <w:i w:val="0"/>
                <w:color w:val="000000"/>
                <w:sz w:val="16"/>
                <w:u w:val="none"/>
              </w:rPr>
              <w:t>Adjustments to reconcile loss to net cash provided by operations: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Depreciation and amortization</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53" w:after="30" w:line="288" w:lineRule="auto"/>
              <w:jc w:val="right"/>
            </w:pPr>
            <w:r>
              <w:rPr>
                <w:rFonts w:ascii="Times New Roman" w:eastAsia="Times New Roman" w:hAnsi="Times New Roman" w:cs="Times New Roman"/>
                <w:b w:val="0"/>
                <w:i w:val="0"/>
                <w:color w:val="000000"/>
                <w:sz w:val="16"/>
                <w:u w:val="none"/>
              </w:rPr>
              <w:tab/>
              <w:t>26,439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53" w:after="30" w:line="288" w:lineRule="auto"/>
              <w:jc w:val="right"/>
            </w:pPr>
            <w:r>
              <w:rPr>
                <w:rFonts w:ascii="Times New Roman" w:eastAsia="Times New Roman" w:hAnsi="Times New Roman" w:cs="Times New Roman"/>
                <w:b w:val="0"/>
                <w:i w:val="0"/>
                <w:color w:val="000000"/>
                <w:sz w:val="16"/>
                <w:u w:val="none"/>
              </w:rPr>
              <w:tab/>
              <w:t>22,142</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Amortization of operating lease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1,560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1,386</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Amortization of debt financing costs and discount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1,253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726</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Non-cash interest expense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3,802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298</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Net accretion of discounts and amortization of premiums on available-for-sale securities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(398)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(377)</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Provision for expected losses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1,122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46</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Provision for deferred income taxes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652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884</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Loss on extinguishment of debt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71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Net realized gains on sales of available-for-sale securities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(2,949)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(2,609)</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Share-based compensation</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7,739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6,444</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Changes in operating assets and liabilities: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Accounts receivable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3,193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(3,998)</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Inventory</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750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52"/>
              </w:tabs>
              <w:spacing w:before="53" w:after="30" w:line="288" w:lineRule="auto"/>
              <w:jc w:val="right"/>
            </w:pPr>
            <w:r>
              <w:rPr>
                <w:rFonts w:ascii="Times New Roman" w:eastAsia="Times New Roman" w:hAnsi="Times New Roman" w:cs="Times New Roman"/>
                <w:b w:val="0"/>
                <w:i w:val="0"/>
                <w:color w:val="000000"/>
                <w:sz w:val="16"/>
                <w:u w:val="none"/>
              </w:rPr>
              <w:tab/>
              <w:t>(41)</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Prepaid expenses and other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(1,165)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(1,886)</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Accounts payable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335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(1,206)</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Accrued expenses and other long-term obligations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(3,650)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(1,103)</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Lease liabilities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(1,661)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(1,555)</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Deferred revenue</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(1,749)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2,010</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Net cash provided by operating activities</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33" w:after="30" w:line="288" w:lineRule="auto"/>
              <w:jc w:val="right"/>
            </w:pPr>
            <w:r>
              <w:rPr>
                <w:rFonts w:ascii="Times New Roman" w:eastAsia="Times New Roman" w:hAnsi="Times New Roman" w:cs="Times New Roman"/>
                <w:b w:val="0"/>
                <w:i w:val="0"/>
                <w:color w:val="000000"/>
                <w:sz w:val="16"/>
                <w:u w:val="none"/>
              </w:rPr>
              <w:tab/>
              <w:t>22,218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33" w:after="30" w:line="288" w:lineRule="auto"/>
              <w:jc w:val="right"/>
            </w:pPr>
            <w:r>
              <w:rPr>
                <w:rFonts w:ascii="Times New Roman" w:eastAsia="Times New Roman" w:hAnsi="Times New Roman" w:cs="Times New Roman"/>
                <w:b w:val="0"/>
                <w:i w:val="0"/>
                <w:color w:val="000000"/>
                <w:sz w:val="16"/>
                <w:u w:val="none"/>
              </w:rPr>
              <w:tab/>
              <w:t>9,388</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Cash flows from investing activities: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Business combination consideration, net of cash acquired</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(37,500)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(7,900)</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Acquisition of intangible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(15,666)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(5,356)</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Purchases of property and equipment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(787)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(692)</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Software capitalization costs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(13,733)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(10,187)</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Purchases of available-for-sale securities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(44,614)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(15,643)</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Proceeds from sales and maturities of available-for-sale securities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46"/>
                <w:tab w:val="left" w:pos="1237"/>
              </w:tabs>
              <w:spacing w:before="53" w:after="30" w:line="288" w:lineRule="auto"/>
              <w:jc w:val="right"/>
            </w:pPr>
            <w:r>
              <w:rPr>
                <w:rFonts w:ascii="Times New Roman" w:eastAsia="Times New Roman" w:hAnsi="Times New Roman" w:cs="Times New Roman"/>
                <w:b w:val="0"/>
                <w:i w:val="0"/>
                <w:color w:val="000000"/>
                <w:sz w:val="16"/>
                <w:u w:val="none"/>
              </w:rPr>
              <w:tab/>
              <w:t>25,623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46"/>
                <w:tab w:val="left" w:pos="1237"/>
              </w:tabs>
              <w:spacing w:before="53" w:after="30" w:line="288" w:lineRule="auto"/>
              <w:jc w:val="right"/>
            </w:pPr>
            <w:r>
              <w:rPr>
                <w:rFonts w:ascii="Times New Roman" w:eastAsia="Times New Roman" w:hAnsi="Times New Roman" w:cs="Times New Roman"/>
                <w:b w:val="0"/>
                <w:i w:val="0"/>
                <w:color w:val="000000"/>
                <w:sz w:val="16"/>
                <w:u w:val="none"/>
              </w:rPr>
              <w:tab/>
              <w:t>20,522</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Net cash used in investing activities</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2"/>
              </w:tabs>
              <w:spacing w:before="33" w:after="30" w:line="288" w:lineRule="auto"/>
              <w:jc w:val="right"/>
            </w:pPr>
            <w:r>
              <w:rPr>
                <w:rFonts w:ascii="Times New Roman" w:eastAsia="Times New Roman" w:hAnsi="Times New Roman" w:cs="Times New Roman"/>
                <w:b w:val="0"/>
                <w:i w:val="0"/>
                <w:color w:val="000000"/>
                <w:sz w:val="16"/>
                <w:u w:val="none"/>
              </w:rPr>
              <w:tab/>
              <w:t>(86,677)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2"/>
              </w:tabs>
              <w:spacing w:before="33" w:after="30" w:line="288" w:lineRule="auto"/>
              <w:jc w:val="right"/>
            </w:pPr>
            <w:r>
              <w:rPr>
                <w:rFonts w:ascii="Times New Roman" w:eastAsia="Times New Roman" w:hAnsi="Times New Roman" w:cs="Times New Roman"/>
                <w:b w:val="0"/>
                <w:i w:val="0"/>
                <w:color w:val="000000"/>
                <w:sz w:val="16"/>
                <w:u w:val="none"/>
              </w:rPr>
              <w:tab/>
              <w:t>(19,256)</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Cash flows from financing activities: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Payments of finance lease principal</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52"/>
              </w:tabs>
              <w:spacing w:before="53" w:after="30" w:line="288" w:lineRule="auto"/>
              <w:jc w:val="right"/>
            </w:pPr>
            <w:r>
              <w:rPr>
                <w:rFonts w:ascii="Times New Roman" w:eastAsia="Times New Roman" w:hAnsi="Times New Roman" w:cs="Times New Roman"/>
                <w:b w:val="0"/>
                <w:i w:val="0"/>
                <w:color w:val="000000"/>
                <w:sz w:val="16"/>
                <w:u w:val="none"/>
              </w:rPr>
              <w:tab/>
              <w:t>(19)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Proceeds from notes payable, net of issuance costs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6"/>
                <w:tab w:val="left" w:pos="1237"/>
              </w:tabs>
              <w:spacing w:before="53" w:after="30" w:line="288" w:lineRule="auto"/>
              <w:jc w:val="right"/>
            </w:pPr>
            <w:r>
              <w:rPr>
                <w:rFonts w:ascii="Times New Roman" w:eastAsia="Times New Roman" w:hAnsi="Times New Roman" w:cs="Times New Roman"/>
                <w:b w:val="0"/>
                <w:i w:val="0"/>
                <w:color w:val="000000"/>
                <w:sz w:val="16"/>
                <w:u w:val="none"/>
              </w:rPr>
              <w:tab/>
              <w:t>57,975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4,995</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Payments of notes payable</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(7,200)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(420)</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Debt extinguishment costs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(100)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Net proceeds from issuance of common stock</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1,336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1,370</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Capital raise fees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(132)</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Payments made on amounts due for the acquisition of intangibles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(2,647)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(1,513)</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Net change in client fund obligations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46"/>
                <w:tab w:val="left" w:pos="1237"/>
              </w:tabs>
              <w:spacing w:before="53" w:after="30" w:line="288" w:lineRule="auto"/>
              <w:jc w:val="right"/>
            </w:pPr>
            <w:r>
              <w:rPr>
                <w:rFonts w:ascii="Times New Roman" w:eastAsia="Times New Roman" w:hAnsi="Times New Roman" w:cs="Times New Roman"/>
                <w:b w:val="0"/>
                <w:i w:val="0"/>
                <w:color w:val="000000"/>
                <w:sz w:val="16"/>
                <w:u w:val="none"/>
              </w:rPr>
              <w:tab/>
              <w:t>34,105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(26,342)</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Net cash provided by (used in) financing activities</w:t>
            </w: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33" w:after="30" w:line="288" w:lineRule="auto"/>
              <w:jc w:val="right"/>
            </w:pPr>
            <w:r>
              <w:rPr>
                <w:rFonts w:ascii="Times New Roman" w:eastAsia="Times New Roman" w:hAnsi="Times New Roman" w:cs="Times New Roman"/>
                <w:b w:val="0"/>
                <w:i w:val="0"/>
                <w:color w:val="000000"/>
                <w:sz w:val="16"/>
                <w:u w:val="none"/>
              </w:rPr>
              <w:tab/>
              <w:t>83,450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2"/>
              </w:tabs>
              <w:spacing w:before="33" w:after="30" w:line="288" w:lineRule="auto"/>
              <w:jc w:val="right"/>
            </w:pPr>
            <w:r>
              <w:rPr>
                <w:rFonts w:ascii="Times New Roman" w:eastAsia="Times New Roman" w:hAnsi="Times New Roman" w:cs="Times New Roman"/>
                <w:b w:val="0"/>
                <w:i w:val="0"/>
                <w:color w:val="000000"/>
                <w:sz w:val="16"/>
                <w:u w:val="none"/>
              </w:rPr>
              <w:tab/>
              <w:t>(22,042)</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Net increase (decrease) in cash, cash equivalents, restricted cash, and restricted cash equivalents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6"/>
                <w:tab w:val="left" w:pos="1237"/>
              </w:tabs>
              <w:spacing w:before="53" w:after="30" w:line="288" w:lineRule="auto"/>
              <w:jc w:val="right"/>
            </w:pPr>
            <w:r>
              <w:rPr>
                <w:rFonts w:ascii="Times New Roman" w:eastAsia="Times New Roman" w:hAnsi="Times New Roman" w:cs="Times New Roman"/>
                <w:b w:val="0"/>
                <w:i w:val="0"/>
                <w:color w:val="000000"/>
                <w:sz w:val="16"/>
                <w:u w:val="none"/>
              </w:rPr>
              <w:tab/>
              <w:t>18,991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(31,910)</w:t>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Cash, cash equivalents, restricted cash and restricted cash equivalents, beginning of period</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66"/>
                <w:tab w:val="left" w:pos="1237"/>
              </w:tabs>
              <w:spacing w:before="53" w:after="30" w:line="288" w:lineRule="auto"/>
              <w:jc w:val="right"/>
            </w:pPr>
            <w:r>
              <w:rPr>
                <w:rFonts w:ascii="Times New Roman" w:eastAsia="Times New Roman" w:hAnsi="Times New Roman" w:cs="Times New Roman"/>
                <w:b w:val="0"/>
                <w:i w:val="0"/>
                <w:color w:val="000000"/>
                <w:sz w:val="16"/>
                <w:u w:val="none"/>
              </w:rPr>
              <w:tab/>
              <w:t>145,712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66"/>
                <w:tab w:val="left" w:pos="1237"/>
              </w:tabs>
              <w:spacing w:before="53" w:after="30" w:line="288" w:lineRule="auto"/>
              <w:jc w:val="right"/>
            </w:pPr>
            <w:r>
              <w:rPr>
                <w:rFonts w:ascii="Times New Roman" w:eastAsia="Times New Roman" w:hAnsi="Times New Roman" w:cs="Times New Roman"/>
                <w:b w:val="0"/>
                <w:i w:val="0"/>
                <w:color w:val="000000"/>
                <w:sz w:val="16"/>
                <w:u w:val="none"/>
              </w:rPr>
              <w:tab/>
              <w:t>177,622</w:t>
              <w:tab/>
            </w:r>
          </w:p>
        </w:tc>
      </w:tr>
      <w:tr>
        <w:tblPrEx>
          <w:tblW w:w="10260"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88" w:lineRule="auto"/>
              <w:jc w:val="left"/>
            </w:pPr>
            <w:r>
              <w:rPr>
                <w:rFonts w:ascii="Times New Roman" w:eastAsia="Times New Roman" w:hAnsi="Times New Roman" w:cs="Times New Roman"/>
                <w:b w:val="0"/>
                <w:i w:val="0"/>
                <w:color w:val="000000"/>
                <w:sz w:val="16"/>
                <w:u w:val="none"/>
              </w:rPr>
              <w:t>Cash, cash equivalents, restricted cash and restricted cash equivalents, end of period</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66"/>
                <w:tab w:val="left" w:pos="1237"/>
              </w:tabs>
              <w:spacing w:before="33" w:after="30" w:line="288" w:lineRule="auto"/>
              <w:jc w:val="right"/>
            </w:pPr>
            <w:r>
              <w:rPr>
                <w:rFonts w:ascii="Times New Roman" w:eastAsia="Times New Roman" w:hAnsi="Times New Roman" w:cs="Times New Roman"/>
                <w:b w:val="0"/>
                <w:i w:val="0"/>
                <w:color w:val="000000"/>
                <w:sz w:val="16"/>
                <w:u w:val="none"/>
              </w:rPr>
              <w:t>$</w:t>
              <w:tab/>
              <w:t>164,703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66"/>
                <w:tab w:val="left" w:pos="1237"/>
              </w:tabs>
              <w:spacing w:before="33" w:after="30" w:line="288" w:lineRule="auto"/>
              <w:jc w:val="right"/>
            </w:pPr>
            <w:r>
              <w:rPr>
                <w:rFonts w:ascii="Times New Roman" w:eastAsia="Times New Roman" w:hAnsi="Times New Roman" w:cs="Times New Roman"/>
                <w:b w:val="0"/>
                <w:i w:val="0"/>
                <w:color w:val="000000"/>
                <w:sz w:val="16"/>
                <w:u w:val="none"/>
              </w:rPr>
              <w:t>$</w:t>
              <w:tab/>
              <w:t>145,712</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Consolidated Financial Statements.</w:t>
      </w:r>
    </w:p>
    <w:p>
      <w:pPr>
        <w:keepNext w:val="0"/>
        <w:keepLines/>
        <w:pageBreakBefore/>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ASURE SOFTWARE, INC.</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CONSOLIDATED STATEMENTS OF CASH FLOWS (continued)</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575"/>
        <w:gridCol w:w="1305"/>
        <w:gridCol w:w="75"/>
        <w:gridCol w:w="1305"/>
      </w:tblGrid>
      <w:tr>
        <w:tblPrEx>
          <w:tblW w:w="10260" w:type="dxa"/>
          <w:tblLayout w:type="fixed"/>
        </w:tblPrEx>
        <w:trPr>
          <w:cantSplit/>
          <w:trHeight w:hRule="exact" w:val="255"/>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68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Year Ended December 31,</w:t>
            </w:r>
          </w:p>
        </w:tc>
      </w:tr>
      <w:tr>
        <w:tblPrEx>
          <w:tblW w:w="10260" w:type="dxa"/>
          <w:tblLayout w:type="fixed"/>
        </w:tblPrEx>
        <w:trPr>
          <w:cantSplit/>
          <w:trHeight w:hRule="exact" w:val="255"/>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2024</w:t>
            </w:r>
          </w:p>
        </w:tc>
      </w:tr>
      <w:tr>
        <w:tblPrEx>
          <w:tblW w:w="10260" w:type="dxa"/>
          <w:tblLayout w:type="fixed"/>
        </w:tblPrEx>
        <w:trPr>
          <w:cantSplit/>
          <w:trHeight w:hRule="exact" w:val="255"/>
        </w:trPr>
        <w:tc>
          <w:tcPr>
            <w:tcW w:w="10260" w:type="dxa"/>
            <w:gridSpan w:val="4"/>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Reconciliation of cash, cash equivalents, restricted cash, and restricted cash equivalents to the Consolidated Balance Sheets</w:t>
            </w:r>
          </w:p>
        </w:tc>
      </w:tr>
      <w:tr>
        <w:tblPrEx>
          <w:tblW w:w="1026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Cash and cash equivalents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53" w:after="30" w:line="240" w:lineRule="auto"/>
              <w:jc w:val="right"/>
            </w:pPr>
            <w:r>
              <w:rPr>
                <w:rFonts w:ascii="Times New Roman" w:eastAsia="Times New Roman" w:hAnsi="Times New Roman" w:cs="Times New Roman"/>
                <w:b w:val="0"/>
                <w:i w:val="0"/>
                <w:color w:val="000000"/>
                <w:sz w:val="16"/>
                <w:u w:val="none"/>
              </w:rPr>
              <w:t>$</w:t>
              <w:tab/>
              <w:t>25,244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53" w:after="30" w:line="240" w:lineRule="auto"/>
              <w:jc w:val="right"/>
            </w:pPr>
            <w:r>
              <w:rPr>
                <w:rFonts w:ascii="Times New Roman" w:eastAsia="Times New Roman" w:hAnsi="Times New Roman" w:cs="Times New Roman"/>
                <w:b w:val="0"/>
                <w:i w:val="0"/>
                <w:color w:val="000000"/>
                <w:sz w:val="16"/>
                <w:u w:val="none"/>
              </w:rPr>
              <w:t>$</w:t>
              <w:tab/>
              <w:t>21,425</w:t>
              <w:tab/>
            </w:r>
          </w:p>
        </w:tc>
      </w:tr>
      <w:tr>
        <w:tblPrEx>
          <w:tblW w:w="1026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Restricted cash and restricted cash equivalents included in funds held for clients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66"/>
                <w:tab w:val="left" w:pos="1237"/>
              </w:tabs>
              <w:spacing w:before="53" w:after="30" w:line="240" w:lineRule="auto"/>
              <w:jc w:val="right"/>
            </w:pPr>
            <w:r>
              <w:rPr>
                <w:rFonts w:ascii="Times New Roman" w:eastAsia="Times New Roman" w:hAnsi="Times New Roman" w:cs="Times New Roman"/>
                <w:b w:val="0"/>
                <w:i w:val="0"/>
                <w:color w:val="000000"/>
                <w:sz w:val="16"/>
                <w:u w:val="none"/>
              </w:rPr>
              <w:tab/>
              <w:t>139,459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66"/>
                <w:tab w:val="left" w:pos="1237"/>
              </w:tabs>
              <w:spacing w:before="53" w:after="30" w:line="240" w:lineRule="auto"/>
              <w:jc w:val="right"/>
            </w:pPr>
            <w:r>
              <w:rPr>
                <w:rFonts w:ascii="Times New Roman" w:eastAsia="Times New Roman" w:hAnsi="Times New Roman" w:cs="Times New Roman"/>
                <w:b w:val="0"/>
                <w:i w:val="0"/>
                <w:color w:val="000000"/>
                <w:sz w:val="16"/>
                <w:u w:val="none"/>
              </w:rPr>
              <w:tab/>
              <w:t>124,287</w:t>
              <w:tab/>
            </w:r>
          </w:p>
        </w:tc>
      </w:tr>
      <w:tr>
        <w:tblPrEx>
          <w:tblW w:w="1026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Total cash, cash equivalents, restricted cash, and restricted cash equivalents</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66"/>
                <w:tab w:val="left" w:pos="1237"/>
              </w:tabs>
              <w:spacing w:before="33" w:after="30" w:line="240" w:lineRule="auto"/>
              <w:jc w:val="right"/>
            </w:pPr>
            <w:r>
              <w:rPr>
                <w:rFonts w:ascii="Times New Roman" w:eastAsia="Times New Roman" w:hAnsi="Times New Roman" w:cs="Times New Roman"/>
                <w:b w:val="0"/>
                <w:i w:val="0"/>
                <w:color w:val="000000"/>
                <w:sz w:val="16"/>
                <w:u w:val="none"/>
              </w:rPr>
              <w:t>$</w:t>
              <w:tab/>
              <w:t>164,703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66"/>
                <w:tab w:val="left" w:pos="1237"/>
              </w:tabs>
              <w:spacing w:before="33" w:after="30" w:line="240" w:lineRule="auto"/>
              <w:jc w:val="right"/>
            </w:pPr>
            <w:r>
              <w:rPr>
                <w:rFonts w:ascii="Times New Roman" w:eastAsia="Times New Roman" w:hAnsi="Times New Roman" w:cs="Times New Roman"/>
                <w:b w:val="0"/>
                <w:i w:val="0"/>
                <w:color w:val="000000"/>
                <w:sz w:val="16"/>
                <w:u w:val="none"/>
              </w:rPr>
              <w:t>$</w:t>
              <w:tab/>
              <w:t>145,712</w:t>
              <w:tab/>
            </w:r>
          </w:p>
        </w:tc>
      </w:tr>
      <w:tr>
        <w:tblPrEx>
          <w:tblW w:w="10260" w:type="dxa"/>
          <w:tblLayout w:type="fixed"/>
        </w:tblPrEx>
        <w:trPr>
          <w:cantSplit/>
          <w:trHeight w:hRule="exact" w:val="255"/>
        </w:trPr>
        <w:tc>
          <w:tcPr>
            <w:tcW w:w="7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Supplemental information:</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25"/>
              <w:jc w:val="left"/>
            </w:pPr>
            <w:r>
              <w:rPr>
                <w:rFonts w:ascii="Times New Roman" w:eastAsia="Times New Roman" w:hAnsi="Times New Roman" w:cs="Times New Roman"/>
                <w:b w:val="0"/>
                <w:i w:val="0"/>
                <w:color w:val="000000"/>
                <w:sz w:val="16"/>
                <w:u w:val="none"/>
              </w:rPr>
              <w:t>Cash paid for interest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3,294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w:t>
              <w:tab/>
            </w:r>
          </w:p>
        </w:tc>
      </w:tr>
      <w:tr>
        <w:tblPrEx>
          <w:tblW w:w="1026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25"/>
              <w:jc w:val="left"/>
            </w:pPr>
            <w:r>
              <w:rPr>
                <w:rFonts w:ascii="Times New Roman" w:eastAsia="Times New Roman" w:hAnsi="Times New Roman" w:cs="Times New Roman"/>
                <w:b w:val="0"/>
                <w:i w:val="0"/>
                <w:color w:val="000000"/>
                <w:sz w:val="16"/>
                <w:u w:val="none"/>
              </w:rPr>
              <w:t>Cash paid for income taxes, net of refunds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18</w:t>
              <w:tab/>
            </w:r>
          </w:p>
        </w:tc>
      </w:tr>
      <w:tr>
        <w:tblPrEx>
          <w:tblW w:w="10260" w:type="dxa"/>
          <w:tblLayout w:type="fixed"/>
        </w:tblPrEx>
        <w:trPr>
          <w:cantSplit/>
          <w:trHeight w:hRule="exact" w:val="255"/>
        </w:trPr>
        <w:tc>
          <w:tcPr>
            <w:tcW w:w="7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6"/>
                <w:u w:val="none"/>
              </w:rPr>
              <w:t>Non-cash investing and financing activities: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240"/>
              <w:jc w:val="left"/>
            </w:pPr>
            <w:r>
              <w:rPr>
                <w:rFonts w:ascii="Times New Roman" w:eastAsia="Times New Roman" w:hAnsi="Times New Roman" w:cs="Times New Roman"/>
                <w:b w:val="0"/>
                <w:i w:val="0"/>
                <w:color w:val="000000"/>
                <w:sz w:val="16"/>
                <w:u w:val="none"/>
              </w:rPr>
              <w:t>Acquisition of intangible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46"/>
                <w:tab w:val="left" w:pos="1237"/>
              </w:tabs>
              <w:spacing w:before="53" w:after="30" w:line="240" w:lineRule="auto"/>
              <w:jc w:val="right"/>
            </w:pPr>
            <w:r>
              <w:rPr>
                <w:rFonts w:ascii="Times New Roman" w:eastAsia="Times New Roman" w:hAnsi="Times New Roman" w:cs="Times New Roman"/>
                <w:b w:val="0"/>
                <w:i w:val="0"/>
                <w:color w:val="000000"/>
                <w:sz w:val="16"/>
                <w:u w:val="none"/>
              </w:rPr>
              <w:t>$</w:t>
              <w:tab/>
              <w:t>488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40" w:lineRule="auto"/>
              <w:jc w:val="right"/>
            </w:pPr>
            <w:r>
              <w:rPr>
                <w:rFonts w:ascii="Times New Roman" w:eastAsia="Times New Roman" w:hAnsi="Times New Roman" w:cs="Times New Roman"/>
                <w:b w:val="0"/>
                <w:i w:val="0"/>
                <w:color w:val="000000"/>
                <w:sz w:val="16"/>
                <w:u w:val="none"/>
              </w:rPr>
              <w:t>$</w:t>
              <w:tab/>
              <w:t>5,338</w:t>
              <w:tab/>
            </w:r>
          </w:p>
        </w:tc>
      </w:tr>
      <w:tr>
        <w:tblPrEx>
          <w:tblW w:w="1026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240"/>
              <w:jc w:val="left"/>
            </w:pPr>
            <w:r>
              <w:rPr>
                <w:rFonts w:ascii="Times New Roman" w:eastAsia="Times New Roman" w:hAnsi="Times New Roman" w:cs="Times New Roman"/>
                <w:b w:val="0"/>
                <w:i w:val="0"/>
                <w:color w:val="000000"/>
                <w:sz w:val="16"/>
                <w:u w:val="none"/>
              </w:rPr>
              <w:t>Notes payable issued for acquisitions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40" w:lineRule="auto"/>
              <w:jc w:val="right"/>
            </w:pPr>
            <w:r>
              <w:rPr>
                <w:rFonts w:ascii="Times New Roman" w:eastAsia="Times New Roman" w:hAnsi="Times New Roman" w:cs="Times New Roman"/>
                <w:b w:val="0"/>
                <w:i w:val="0"/>
                <w:color w:val="000000"/>
                <w:sz w:val="16"/>
                <w:u w:val="none"/>
              </w:rPr>
              <w:t>$</w:t>
              <w:tab/>
              <w:t>5,524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40" w:lineRule="auto"/>
              <w:jc w:val="right"/>
            </w:pPr>
            <w:r>
              <w:rPr>
                <w:rFonts w:ascii="Times New Roman" w:eastAsia="Times New Roman" w:hAnsi="Times New Roman" w:cs="Times New Roman"/>
                <w:b w:val="0"/>
                <w:i w:val="0"/>
                <w:color w:val="000000"/>
                <w:sz w:val="16"/>
                <w:u w:val="none"/>
              </w:rPr>
              <w:t>$</w:t>
              <w:tab/>
              <w:t>3,107</w:t>
              <w:tab/>
            </w:r>
          </w:p>
        </w:tc>
      </w:tr>
      <w:tr>
        <w:tblPrEx>
          <w:tblW w:w="1026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240"/>
              <w:jc w:val="left"/>
            </w:pPr>
            <w:r>
              <w:rPr>
                <w:rFonts w:ascii="Times New Roman" w:eastAsia="Times New Roman" w:hAnsi="Times New Roman" w:cs="Times New Roman"/>
                <w:b w:val="0"/>
                <w:i w:val="0"/>
                <w:color w:val="000000"/>
                <w:sz w:val="16"/>
                <w:u w:val="none"/>
              </w:rPr>
              <w:t>Shares issued for acquisitions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46"/>
                <w:tab w:val="left" w:pos="1237"/>
              </w:tabs>
              <w:spacing w:before="53" w:after="30" w:line="240" w:lineRule="auto"/>
              <w:jc w:val="right"/>
            </w:pPr>
            <w:r>
              <w:rPr>
                <w:rFonts w:ascii="Times New Roman" w:eastAsia="Times New Roman" w:hAnsi="Times New Roman" w:cs="Times New Roman"/>
                <w:b w:val="0"/>
                <w:i w:val="0"/>
                <w:color w:val="000000"/>
                <w:sz w:val="16"/>
                <w:u w:val="none"/>
              </w:rPr>
              <w:t>$</w:t>
              <w:tab/>
              <w:t>956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40" w:lineRule="auto"/>
              <w:jc w:val="right"/>
            </w:pPr>
            <w:r>
              <w:rPr>
                <w:rFonts w:ascii="Times New Roman" w:eastAsia="Times New Roman" w:hAnsi="Times New Roman" w:cs="Times New Roman"/>
                <w:b w:val="0"/>
                <w:i w:val="0"/>
                <w:color w:val="000000"/>
                <w:sz w:val="16"/>
                <w:u w:val="none"/>
              </w:rPr>
              <w:t>$</w:t>
              <w:tab/>
              <w:t>9,125</w:t>
              <w:tab/>
            </w:r>
          </w:p>
        </w:tc>
      </w:tr>
      <w:tr>
        <w:tblPrEx>
          <w:tblW w:w="1026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3" w:after="30" w:line="240" w:lineRule="auto"/>
              <w:ind w:left="240"/>
              <w:jc w:val="left"/>
            </w:pPr>
            <w:r>
              <w:rPr>
                <w:rFonts w:ascii="Times New Roman" w:eastAsia="Times New Roman" w:hAnsi="Times New Roman" w:cs="Times New Roman"/>
                <w:b w:val="0"/>
                <w:i w:val="0"/>
                <w:color w:val="000000"/>
                <w:sz w:val="16"/>
                <w:u w:val="none"/>
              </w:rPr>
              <w:t>Shares issued for debt payments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826"/>
                <w:tab w:val="left" w:pos="1237"/>
              </w:tabs>
              <w:spacing w:before="53" w:after="30" w:line="240" w:lineRule="auto"/>
              <w:jc w:val="right"/>
            </w:pPr>
            <w:r>
              <w:rPr>
                <w:rFonts w:ascii="Times New Roman" w:eastAsia="Times New Roman" w:hAnsi="Times New Roman" w:cs="Times New Roman"/>
                <w:b w:val="0"/>
                <w:i w:val="0"/>
                <w:color w:val="000000"/>
                <w:sz w:val="16"/>
                <w:u w:val="none"/>
              </w:rPr>
              <w:t>$</w:t>
              <w:tab/>
              <w:t>2,566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026"/>
                <w:tab w:val="left" w:pos="1237"/>
              </w:tabs>
              <w:spacing w:before="53" w:after="30" w:line="240" w:lineRule="auto"/>
              <w:jc w:val="right"/>
            </w:pPr>
            <w:r>
              <w:rPr>
                <w:rFonts w:ascii="Times New Roman" w:eastAsia="Times New Roman" w:hAnsi="Times New Roman" w:cs="Times New Roman"/>
                <w:b w:val="0"/>
                <w:i w:val="0"/>
                <w:color w:val="000000"/>
                <w:sz w:val="16"/>
                <w:u w:val="none"/>
              </w:rPr>
              <w:t>$</w:t>
              <w:tab/>
              <w:t>—</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Consolidated Financial Statements.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i w:val="0"/>
          <w:sz w:val="20"/>
        </w:rPr>
      </w:pPr>
      <w:bookmarkStart w:id="26" w:name="Section27"/>
      <w:bookmarkEnd w:id="26"/>
      <w:r>
        <w:rPr>
          <w:rFonts w:ascii="Times New Roman" w:eastAsia="Times New Roman" w:hAnsi="Times New Roman" w:cs="Times New Roman"/>
          <w:b/>
          <w:i w:val="0"/>
          <w:sz w:val="20"/>
        </w:rPr>
        <w:t>ASURE SOFTWARE, INC.</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NOTES TO CONSOLIDATED FINANCIAL STATEMENTS</w:t>
      </w:r>
    </w:p>
    <w:p>
      <w:pPr>
        <w:keepNext w:val="0"/>
        <w:keepLines/>
        <w:pageBreakBefore w:val="0"/>
        <w:widowControl w:val="0"/>
        <w:numPr>
          <w:ilvl w:val="0"/>
          <w:numId w:val="0"/>
        </w:numPr>
        <w:spacing w:before="0" w:after="0" w:line="288" w:lineRule="auto"/>
        <w:ind w:left="0" w:right="0" w:firstLine="0"/>
        <w:jc w:val="center"/>
        <w:outlineLvl w:val="9"/>
        <w:sectPr>
          <w:headerReference w:type="default" r:id="rId16"/>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27" w:name="Section28"/>
      <w:bookmarkEnd w:id="27"/>
    </w:p>
    <w:p>
      <w:pPr>
        <w:keepNext/>
        <w:keepLines/>
        <w:pageBreakBefore w:val="0"/>
        <w:widowControl w:val="0"/>
        <w:numPr>
          <w:ilvl w:val="0"/>
          <w:numId w:val="0"/>
        </w:numPr>
        <w:spacing w:before="0" w:after="0" w:line="288" w:lineRule="auto"/>
        <w:ind w:left="1080" w:right="0" w:hanging="1080"/>
        <w:jc w:val="both"/>
        <w:outlineLvl w:val="3"/>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 xml:space="preserve">NOTE 1 - </w:t>
      </w:r>
      <w:r>
        <w:rPr>
          <w:rFonts w:ascii="Times New Roman" w:eastAsia="Times New Roman" w:hAnsi="Times New Roman" w:cs="Times New Roman"/>
          <w:b/>
          <w:i w:val="0"/>
          <w:color w:val="000000"/>
          <w:sz w:val="20"/>
          <w:u w:val="none"/>
        </w:rPr>
        <w:t>DESCRIPTION OF BUSINESS, BASIS OF PRESENTATION, AND SIGNIFICANT ACCOUNTING POLICIES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yellow"/>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DESCRIPTION OF BUSINESS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Asure Software, Inc. (“Asure”, the “Company”, “we” and “our”), a Delaware corporation, is a provider of cloud-based Human Capital Management (“HCM”) software solutions delivered as Software-as-a-Service (“SaaS”) to businesses of all sizes. We offer human resources (“HR”) tools necessary to build a thriving workforce, provide the resources to stay compliant with dynamic federal, state, and local tax jurisdictions and their respective labor laws, freeing cash flows so these businesses can spend their financial capital on growing their businesses rather than administrative overhead that can impede growth. Our solutions also provide new ways for employers to connect with their employees and strengthen relationships with their talent. At the core of our offering is the Asure HCM platform—a SaaS-based system that includes Payroll &amp; Tax filing, HR management tools, Time &amp; Attendance software,  Recruiting, and Benefits Administration. This platform serves as the foundation for delivering both our core software and a range of complementary, technology-enabled services. These include AsureMarketplace™, which automates data exchange between our HCM system and third-party providers to increase efficiency, accuracy, and breadth of services. Our HR Compliance services combine expert guidance with scalable digital delivery. AsurePay™, our payroll card, which we provide in association with our partners, offers employees fast, secure access to earned wages. Additionally, through our licensed brokerage, we offer Insurance Services that help employers manage benefits and reduce administrative costs. We deliver our solutions directly and through a national network of Reseller Partners.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strive to be the most trusted HCM resource. Our solutions solve three primary challenges that prevent businesses from growing: HR complexity, allocation of human and financial capital, and the ability to build great teams. We sell our solutions through both direct and partner channels. We supplement our direct sales efforts with partner programs that afford us access to opportunities in various geographic and industry niches. Asure has two types of partners: Reseller Partners that white label our products while providing value-added services to their clients (our indirect clients) and Referral Partners that provide us with client leads but do not resell our solutions. We have and will continue to invest in research and development to expand our solutions. Our solutions reduce the administrative burden on employers and increase employee productivity while managing the employment lifecycle. The Asure HCM suite includes eight product lines: Asure Payroll &amp; Tax, Asure HR Compliance, Asure Time &amp; Attendance, AsureRecruiting™, Asure Insurance and Benefits Administration, AsurePay™, Asure Tax Management Solutions,  and AsureMarketplace™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develop, market, sell and support our offerings nationwide through our principal office in Austin, Texas, and from our processing hubs in Alabama, California, Florida, Georgia, New Jersey, New York, North Carolina, Ohio, South Dakota, Tennessee, Texas, Virginia, and Vermont.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i w:val="0"/>
          <w:color w:val="000000"/>
          <w:sz w:val="20"/>
          <w:u w:val="none"/>
        </w:rPr>
        <w:t>PRINCIPLES OF CONSOLIDATION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have prepared our Consolidated Financial Statements in accordance with accounting principles generally accepted in the United States of America (“U.S. GAAP”) and have included the accounts of our wholly owned subsidiaries. We have eliminated all intercompany transactions and balances in consolidation.</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REPORTABLE SEGMENTS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Our chief operating decision maker is our Chairman and Chief Executive Officer, Patrick Goepel, who reviews financial information presented on a company-wide basis. Thus, in accordance with Financial Accounting Standards Board (“FASB”) Accounting Standards Codification (“ASC”) 280, we determined that we have a single reportable segment that primarily derives its revenue in the United States by providing payroll services to customers.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i w:val="0"/>
          <w:color w:val="000000"/>
          <w:sz w:val="20"/>
          <w:u w:val="none"/>
        </w:rPr>
        <w:t>USE OF ESTIMATES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Preparation of the Consolidated Financial Statements in conformity with U.S. GAAP requires management to make estimates and assumptions that affect the reported amounts of the assets and liabilities, the disclosure of contingent assets and liabilities at the date of the Consolidated Financial Statements and the reported amounts of revenues and expenses during the reporting period. These estimates are subjective in nature and involve judgments. The more significant estimates made by management include the useful lives of customer-related long-lived assets and the fair value of assets acquired and liabilities assumed during business acquisitions. We base our estimates on historical experience and on various other assumptions management believes reasonable under the given circumstances. These estimates could be materially different under different conditions and assumptions.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CONTINGENCIES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Although we have been, are, and in the future may be, the defendant or plaintiff in various actions arising in the normal course of business, as of December 31, 2025, we were not currently a party to any material legal proceedings.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RECENTLY ISSUED ACCOUNTING PRONOUNCEMENTS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u w:val="none"/>
        </w:rPr>
        <w:t xml:space="preserve">In December 2023, the FASB issued ASU No. 2023-09, Improvements to Income Tax Disclosures (Topic 740), which requires companies to disaggregate information about their effective tax rate reconciliation as well as information on income taxes paid. The standard applies to all entities subject to income taxes. The standard becomes effective for public entities for annual periods beginning after December 15, 2024. We adopted this standard prospectively for the annual period ended December 31, 2025. This guidance did not have an impact on our financial position, results of operations, or cash flows, although it did result in expanded reportable disclosures. See Note 10 </w:t>
      </w:r>
      <w:r>
        <w:rPr>
          <w:rFonts w:ascii="Times New Roman" w:eastAsia="Times New Roman" w:hAnsi="Times New Roman" w:cs="Times New Roman"/>
          <w:b w:val="0"/>
          <w:i w:val="0"/>
          <w:color w:val="000000"/>
          <w:sz w:val="18"/>
          <w:u w:val="none"/>
        </w:rPr>
        <w:t>—</w:t>
      </w:r>
      <w:r>
        <w:rPr>
          <w:rFonts w:ascii="Times New Roman" w:eastAsia="Times New Roman" w:hAnsi="Times New Roman" w:cs="Times New Roman"/>
          <w:b w:val="0"/>
          <w:i w:val="0"/>
          <w:color w:val="000000"/>
          <w:sz w:val="20"/>
          <w:u w:val="none"/>
        </w:rPr>
        <w:t xml:space="preserve"> Income Taxes in the accompanying notes to the consolidated financial statements for further detail.</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In July 2025, the FASB issued ASU No. 2025-05, Measurement of Credit Losses for Accounts Receivable and Contract Assets, which provides a practical expedient to assume that, for estimating expected credit losses, current conditions as of the balance sheet date will remain constant through the remaining life of the assets. The practical expedient is available to all entities. The standard becomes effective for all entities for annual periods beginning after December 15, 2025. We are currently evaluating this standard and the potential effects of these changes to our consolidated financial statements.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CASH, CASH EQUIVALENTS, AND RESTRICTED CASH</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singl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We consider all highly liquid investments with maturities of 90 days or less to be cash equivalents. Cash equivalents include investments in an institutional money market fund, which invests in U.S. Treasury bills, notes and bonds, and/or repurchase agreements, backed by such obligations. Carrying value approximates fair value. Restricted cash consists of cash balances which are restricted as to withdrawal or usage. As of December 31, 2025, we ha</w:t>
      </w:r>
      <w:r>
        <w:rPr>
          <w:rFonts w:ascii="Times New Roman" w:eastAsia="Times New Roman" w:hAnsi="Times New Roman" w:cs="Times New Roman"/>
          <w:b w:val="0"/>
          <w:i w:val="0"/>
          <w:color w:val="000000"/>
          <w:sz w:val="20"/>
          <w:highlight w:val="white"/>
          <w:u w:val="none"/>
        </w:rPr>
        <w:t xml:space="preserve">d no restricted cash. </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INVENTORIES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Our inventories consist primarily of finished goods and are stated at the lower of cost or net realizable value with cost determined on an average cost basis. Items included in costs of inventory consist of labor, material, overhead costs, freight in, and additional transactions costs such as taxes and tariffs.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periodically assess the value of our inventory for decreases in value due to obsolescence. Included in this evaluation is our assessment of product demand, estimated future sales, and our plans for our products in the future. Provisions are made if the cost of inventories exceeds their net realizable value and is charged to cost of sales. We did not recognize any provision for the years ended December 31, 2025 and 2024.</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INVESTMENTS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Available-for-sale securities are carried at fair value, with the unrealized gains and losses reported in accumulated other comprehensive loss. The amortized cost of debt securities is adjusted for amortization of premiums and accretion of discounts to maturity. The amortization of premiums and accretion of discounts is included in interest income. Realized gains and losses and declines in value judged to be credit losses, if any, on available-for-sale securities are included in other income, net. The cost of securities sold is based on the specific identification method. Interest and dividends on securities classified as available-for-sale are included in interest income.</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FUNDS HELD FOR CLIENTS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Funds held for clients represent assets that are held for the purpose of satisfying the obligations to remit funds relating to our payroll and payroll tax filing services and are classified as client fund obligations on our Consolidated Balance Sheets. Funds held for clients are held in demand deposit or brokerage accounts at financial institutions and are classified as a current asset on our Consolidated Balance Sheets.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Client fund obligations represent our contractual obligations to remit funds to satisfy clients’ payroll and tax payment obligations and are recorded on the Consolidated Balance Sheets at the time that we impound funds from clients.</w:t>
      </w:r>
      <w:r>
        <w:rPr>
          <w:rFonts w:ascii="Times New Roman" w:eastAsia="Times New Roman" w:hAnsi="Times New Roman" w:cs="Times New Roman"/>
          <w:b w:val="0"/>
          <w:i w:val="0"/>
          <w:color w:val="000000"/>
          <w:sz w:val="20"/>
          <w:highlight w:val="white"/>
          <w:u w:val="none"/>
        </w:rPr>
        <w:t xml:space="preserve"> The client fund obligations represent liabilities that will be repaid within one year of the balance sheet date. We have reported client fund obligations as a current liability on the Consolidated Balance Sheets.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i w:val="0"/>
          <w:color w:val="000000"/>
          <w:sz w:val="20"/>
          <w:highlight w:val="white"/>
          <w:u w:val="none"/>
        </w:rPr>
        <w:t>FAIR VALUE OF FINANCIAL INSTRUMENTS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We apply the authoritative guidance on fair value measurements for financial assets and liabilities that are measured at fair value on a recurring basis, and non-financial assets and liabilities such as goodwill, intangible assets and property and equipment that are measured at fair value on a non-recurring basis.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CONCENTRATION OF CREDIT RISK</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Cash and cash equivalents are deposited at various area banks, which at times may exceed federally insured limits. We monitor the viability of the banking institutions carrying our assets on a regular basis and have the ability to transfer cash to various institutions during times of risk. We have not experienced any losses related to these cash balances and believe our credit risk to be minimal.</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ACCOUNTS RECEIVABLE, NET</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We grant credit to customers in the ordinary course of business, exposing us to the credit risk of our customers. In the course of our sales to customers, we may encounter difficulty collecting accounts receivable. We limit concentrations of credit risk related to our trade accounts receivable due to our large number of customers, including third-party resellers, and their dispersion across several industries and geographic areas. We perform ongoing credit evaluations of our customers and maintain reserves for potential credit losses. We require advanced payments or secured transactions when deemed necessary.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review potential customers’ credit ratings to evaluate customers’ ability to pay an obligation within the payment term, which is usually net thirty days. If we receive reasonable assurance of payment and know of no barriers to legally enforce the payment obligation, we may extend credit to customers. We place accounts on “Credit Hold” if a placed order exceeds the credit limit or sooner if circumstances warrant. We follow our credit policy consistently and routinely monitor our delinquent accounts for indications of collectability.</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maintain an allowance for credit losses at an amount we estimate to be sufficient to provide adequate protection against credit losses resulting from extending credit to our customers. We base this allowance and our expected credit loss estimates, in the aggregate, on historical collection experience, age of receivables, general economic conditions and reasonable and supportable forecasts concerning the future. The allowance for credit losses also considers the need for specific customer reserves based on the customer’s payment experience, credit worthiness and age of receivable balances. Our bad debts have been within management expectations. Refer to Note 7 </w:t>
      </w:r>
      <w:r>
        <w:rPr>
          <w:rFonts w:ascii="Times New Roman" w:eastAsia="Times New Roman" w:hAnsi="Times New Roman" w:cs="Times New Roman"/>
          <w:b w:val="0"/>
          <w:i w:val="0"/>
          <w:color w:val="000000"/>
          <w:sz w:val="18"/>
          <w:u w:val="none"/>
        </w:rPr>
        <w:t>—</w:t>
      </w:r>
      <w:r>
        <w:rPr>
          <w:rFonts w:ascii="Times New Roman" w:eastAsia="Times New Roman" w:hAnsi="Times New Roman" w:cs="Times New Roman"/>
          <w:b w:val="0"/>
          <w:i w:val="0"/>
          <w:color w:val="000000"/>
          <w:sz w:val="20"/>
          <w:u w:val="none"/>
        </w:rPr>
        <w:t xml:space="preserve"> Contracts with Customers and Revenue Concentration for details on our accounts receivable and allowance for credit losses.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PROPERTY AND EQUIPMENT</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record property and equipment, including software, furniture and equipment, at cost less accumulated depreciation. We record depreciation using the straight-line method over the estimated economic useful lives of the assets, which range from </w:t>
      </w:r>
      <w:r>
        <w:rPr>
          <w:rFonts w:ascii="Times New Roman" w:eastAsia="Times New Roman" w:hAnsi="Times New Roman" w:cs="Times New Roman"/>
          <w:b w:val="0"/>
          <w:i w:val="0"/>
          <w:color w:val="000000"/>
          <w:sz w:val="20"/>
          <w:u w:val="none"/>
        </w:rPr>
        <w:t>two</w:t>
      </w:r>
      <w:r>
        <w:rPr>
          <w:rFonts w:ascii="Times New Roman" w:eastAsia="Times New Roman" w:hAnsi="Times New Roman" w:cs="Times New Roman"/>
          <w:b w:val="0"/>
          <w:i w:val="0"/>
          <w:color w:val="000000"/>
          <w:sz w:val="20"/>
          <w:u w:val="none"/>
        </w:rPr>
        <w:t xml:space="preserve"> to </w:t>
      </w:r>
      <w:r>
        <w:rPr>
          <w:rFonts w:ascii="Times New Roman" w:eastAsia="Times New Roman" w:hAnsi="Times New Roman" w:cs="Times New Roman"/>
          <w:b w:val="0"/>
          <w:i w:val="0"/>
          <w:color w:val="000000"/>
          <w:sz w:val="20"/>
          <w:u w:val="none"/>
        </w:rPr>
        <w:t>five years</w:t>
      </w:r>
      <w:r>
        <w:rPr>
          <w:rFonts w:ascii="Times New Roman" w:eastAsia="Times New Roman" w:hAnsi="Times New Roman" w:cs="Times New Roman"/>
          <w:b w:val="0"/>
          <w:i w:val="0"/>
          <w:color w:val="000000"/>
          <w:sz w:val="20"/>
          <w:u w:val="none"/>
        </w:rPr>
        <w:t>. Property and equipment also includes leasehold improvements which we record at cost less accumulated amortization. We record amortization of leasehold improvements using the straight-line method over the shorter of the lease term or over the life of the respective assets, as applicable. We recognize gains or losses related to retirements or disposition of fixed assets in the period incurred. We expense repair and maintenance costs as incurred. We periodically review the estimated economic useful lives of our property and equipment and make adjustments, if necessary, according to the latest information available.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BUSINESS COMBINATIONS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have accounted for our acquisitions using the acquisition method of accounting based on ASC 805—Business Combinations, which requires recognition and measurement of all identifiable assets acquired and liabilities assumed at their full fair value as of the date we obtain control. We have determined the fair value of assets acquired and liabilities assumed based upon our estimates of the fair values of assets acquired and liabilities assumed in the acquisitions. Goodwill represents the excess of the purchase price over the fair value of the net tangible and identifiable intangible assets acquired. While we have used our best estimates and assumptions to measure the fair value of the identifiable assets acquired and liabilities assumed at the acquisition date, our estimates are inherently uncertain and subject to refinement. As a result, during the measurement period, not to exceed one year from the date of acquisition, any changes in the estimated fair values of the net assets recorded for the acquisitions will result in an adjustment to goodwill. Upon the conclusion of the measurement period or final determination of the values of assets acquired or liabilities assumed, whichever comes first, we record any subsequent adjustments to our Consolidated Statements of Comprehensive Loss.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GOODWILL AND OTHER INTANGIBLE ASSETS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Goodwill represents the excess of the purchase price in a business combination over the fair value of net tangible and intangible assets acquired in a business combination. We test goodwill for impairment on an annual basis in the fourth fiscal quarter of each year, and between annual tests if indicators of potential impairment exist, by first assessing qualitative factors to determine whether it is necessary to perform the quantitative goodwill impairment test.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amortize intangible assets not considered to have an indefinite useful life using the straight-line method over their useful lives. We currently amortize our acquired intangible assets with definite lives over periods ranging from </w:t>
      </w:r>
      <w:r>
        <w:rPr>
          <w:rFonts w:ascii="Times New Roman" w:eastAsia="Times New Roman" w:hAnsi="Times New Roman" w:cs="Times New Roman"/>
          <w:b w:val="0"/>
          <w:i w:val="0"/>
          <w:color w:val="000000"/>
          <w:sz w:val="20"/>
          <w:u w:val="none"/>
        </w:rPr>
        <w:t>two</w:t>
      </w:r>
      <w:r>
        <w:rPr>
          <w:rFonts w:ascii="Times New Roman" w:eastAsia="Times New Roman" w:hAnsi="Times New Roman" w:cs="Times New Roman"/>
          <w:b w:val="0"/>
          <w:i w:val="0"/>
          <w:color w:val="000000"/>
          <w:sz w:val="20"/>
          <w:u w:val="none"/>
        </w:rPr>
        <w:t xml:space="preserve"> to </w:t>
      </w:r>
      <w:r>
        <w:rPr>
          <w:rFonts w:ascii="Times New Roman" w:eastAsia="Times New Roman" w:hAnsi="Times New Roman" w:cs="Times New Roman"/>
          <w:b w:val="0"/>
          <w:i w:val="0"/>
          <w:color w:val="000000"/>
          <w:sz w:val="20"/>
          <w:u w:val="none"/>
        </w:rPr>
        <w:t>fifteen years</w:t>
      </w:r>
      <w:r>
        <w:rPr>
          <w:rFonts w:ascii="Times New Roman" w:eastAsia="Times New Roman" w:hAnsi="Times New Roman" w:cs="Times New Roman"/>
          <w:b w:val="0"/>
          <w:i w:val="0"/>
          <w:color w:val="000000"/>
          <w:sz w:val="20"/>
          <w:u w:val="none"/>
        </w:rPr>
        <w:t xml:space="preserve">. Each reporting period, we evaluate the estimated remaining useful life of intangible assets and assess whether events or changes in circumstances warrant a revision to the remaining period of amortization or indicate that impairment exists.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IMPAIRMENT OF LONG-LIVED ASSETS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Long-lived assets, including intangible assets with definite lives, are reviewed for impairment when events or changes in circumstances indicate that the carrying amount of an asset may not be recoverable. Recoverability of assets to be held and used is measured by a comparison of the carrying amount of an asset to estimated undiscounted future cash flows expected to be generated by the asset. If the carrying amount of an asset exceeds its estimated future cash flows, an impairment charge is recognized for the amount by which the carrying amount of the asset exceeds the estimated fair value of the asset. We have determined that there was no impairment of long-lived assets including intangible assets with definite lives, for the year ended December 31, 2025.</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ORIGINAL ISSUE DISCOUNTS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recognize original issue discounts, when incurred on the issuance of debt, as a reduction of the current loan obligations that we amortize to interest expense over the life of the related indebtedness using the effective interest rate method. We record the amortization as interest expense in the Consolidated Statements of Comprehensive Loss. At the time of any repurchases or retirements of related debt, we write off the remaining amount of net original issue discounts and include them in the calculation of gain or loss on extinguishment of debt in the Consolidated Statements of Comprehensive Loss.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REVENUE RECOGNITION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Our revenue primarily consists of SaaS offerings and income from investments made from funds held for clients. Collectively, the SaaS offerings are referred to as “Asure HCM”, consisting of Payroll &amp; Tax solutions, Recruiting, Time &amp; Attendance software, HR management tools, and Benefits Administration, and data integrations that enable employers and their employees to enhance efficiencies and take advantage of value-added solutions. We also provide support and other professional services related to our offerings. Furthermore, our Time &amp; Attendance software can be provided in the form of a software subscription license arrangement, that typically includes hardware, maintenance/support, and professional services. We recognize revenue on an output basis when control of the promised goods or services is transferred to our customers, in an amount that reflects the consideration we expect to be entitled to in exchange for those goods or services. Our contracts with customers may include multiple performance obligations. For such arrangements, we allocate revenue to each performance obligation based on its relative standalone selling price. We determine standalone selling prices based on the amount that we believe the market is willing to pay determined through historical analysis of sales data as well as through use of the residual approach when we can estimate the standalone selling price for one or more, but not all, of the promised goods or services.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The terms of our contracts with customers range from month-to-month for some Asure HCM direct clients to longer terms ranging from </w:t>
      </w:r>
      <w:r>
        <w:rPr>
          <w:rFonts w:ascii="Times New Roman" w:eastAsia="Times New Roman" w:hAnsi="Times New Roman" w:cs="Times New Roman"/>
          <w:b w:val="0"/>
          <w:i w:val="0"/>
          <w:color w:val="000000"/>
          <w:sz w:val="20"/>
          <w:u w:val="none"/>
        </w:rPr>
        <w:t>one</w:t>
      </w:r>
      <w:r>
        <w:rPr>
          <w:rFonts w:ascii="Times New Roman" w:eastAsia="Times New Roman" w:hAnsi="Times New Roman" w:cs="Times New Roman"/>
          <w:b w:val="0"/>
          <w:i w:val="0"/>
          <w:color w:val="000000"/>
          <w:sz w:val="20"/>
          <w:u w:val="none"/>
        </w:rPr>
        <w:t xml:space="preserve"> to </w:t>
      </w:r>
      <w:r>
        <w:rPr>
          <w:rFonts w:ascii="Times New Roman" w:eastAsia="Times New Roman" w:hAnsi="Times New Roman" w:cs="Times New Roman"/>
          <w:b w:val="0"/>
          <w:i w:val="0"/>
          <w:color w:val="000000"/>
          <w:sz w:val="20"/>
          <w:u w:val="none"/>
        </w:rPr>
        <w:t>five years</w:t>
      </w:r>
      <w:r>
        <w:rPr>
          <w:rFonts w:ascii="Times New Roman" w:eastAsia="Times New Roman" w:hAnsi="Times New Roman" w:cs="Times New Roman"/>
          <w:b w:val="0"/>
          <w:i w:val="0"/>
          <w:color w:val="000000"/>
          <w:sz w:val="20"/>
          <w:u w:val="none"/>
        </w:rPr>
        <w:t xml:space="preserve">, most of which are renewable for successive terms. A typical SaaS/software subscription arrangement will also include hardware, setup and implementation services. Revenue allocated to the SaaS/software subscription performance obligations are typically considered a series of distinct services and therefore recognized over time using an output-based ratable recognition method as the clients simultaneously consume the benefit of our services as they are performed. The revenue from these services is reported as Recurring revenue on the Consolidated Statement of Comprehensive Loss. In certain circumstances, payments related to our SaaS/software subscription performance obligations can be up-front or in arrears for the period during which the revenue is recognized and would create a contract liability or contract asset balance, respectively. Revenue allocated to other performance obligations included in the arrangement and further details on our associated contract balances are measured and recognized as outlined below.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Hardware devices sold to customers are sold as either a standard product sell arrangement where title to the hardware passes to the customer or under a hardware-as-a-service (“HaaS”) arrangement where the title to the hardware remains with Asure. Revenue allocated to hardware sold as a standard product are recognized on an output basis when title passes to the customer, typically the date we ship the hardware. Revenue allocated to hardware under a HaaS arrangement are recognized on an output basis, recorded ratably as the service is provided over the non-cancellable term of the HaaS arrangement, typically one year. Revenue recognized from hardware devices sold to customers via either of the two above types of arrangements are reported as Hardware revenue on the Consolidated Statement of Comprehensive Loss.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Our professional services offerings typically include data migration, set up, training, and implementation services. We can reasonably estimate professional services performed for a fixed fee and we recognize allocated revenue on an output basis on a proportional performance basis as the service is provided. Revenue recognized from professional services offerings are reported as Professional services, hardware and other revenue on the Consolidated Statements of Comprehensive Loss.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recognize allocated revenue for maintenance/support on an output basis ratably over the non-cancellable term of the support agreement. Initial maintenance/support terms are typically </w:t>
      </w:r>
      <w:r>
        <w:rPr>
          <w:rFonts w:ascii="Times New Roman" w:eastAsia="Times New Roman" w:hAnsi="Times New Roman" w:cs="Times New Roman"/>
          <w:b w:val="0"/>
          <w:i w:val="0"/>
          <w:color w:val="000000"/>
          <w:sz w:val="20"/>
          <w:u w:val="none"/>
        </w:rPr>
        <w:t>one</w:t>
      </w:r>
      <w:r>
        <w:rPr>
          <w:rFonts w:ascii="Times New Roman" w:eastAsia="Times New Roman" w:hAnsi="Times New Roman" w:cs="Times New Roman"/>
          <w:b w:val="0"/>
          <w:i w:val="0"/>
          <w:color w:val="000000"/>
          <w:sz w:val="20"/>
          <w:u w:val="none"/>
        </w:rPr>
        <w:t xml:space="preserve"> to </w:t>
      </w:r>
      <w:r>
        <w:rPr>
          <w:rFonts w:ascii="Times New Roman" w:eastAsia="Times New Roman" w:hAnsi="Times New Roman" w:cs="Times New Roman"/>
          <w:b w:val="0"/>
          <w:i w:val="0"/>
          <w:color w:val="000000"/>
          <w:sz w:val="20"/>
          <w:u w:val="none"/>
        </w:rPr>
        <w:t>three years</w:t>
      </w:r>
      <w:r>
        <w:rPr>
          <w:rFonts w:ascii="Times New Roman" w:eastAsia="Times New Roman" w:hAnsi="Times New Roman" w:cs="Times New Roman"/>
          <w:b w:val="0"/>
          <w:i w:val="0"/>
          <w:color w:val="000000"/>
          <w:sz w:val="20"/>
          <w:u w:val="none"/>
        </w:rPr>
        <w:t xml:space="preserve"> and are renewable on an annual basis. Revenue recognized from maintenance/support are reported as recurring revenue on the Consolidated Statements of Comprehensive Loss.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do not recognize revenue for agreements with rights of return, refundable fees, cancellation rights or substantive acceptance clauses until these return, refund or cancellation rights have expired or acceptance has occurred. Our arrangements with resellers do not allow for any rights of return.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Our payment terms vary by the type of customer and the customer’s payment history and the products or services offered. Due to the current political climate related to Employee Retention Tax Credits (“ERTC”), including pending and anticipated changes to ERTC, there is a risk that we may not collect on some of our outstanding percentage of recovery ERTC receivables. The term between invoicing and when payment is due is not significant and as such our contracts do not include a significant financing component. The transaction prices of our contracts primarily do not include consideration amounts that are variable and do not include noncash consideration. In the event that variable consideration exists, management estimates the amount of variable consideration to the extent to prevent a material reversal of revenue in a future period.</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Contract assets include both costs to obtain and fulfill contracts with customers. Costs to obtain a contract primarily result from commissions directly related to the acquisition of a new contract when it is expected that the future economic benefit of that contract will last longer than one year. Costs to obtain a contract are recognized as an expense on a straight-line basis over the expected customer relationships period. Costs to fulfill are costs that are specifically identifiable to a contract, create or enhance the resources we will use to satisfy our existing performance obligations and are expected to be recovered. Costs incurred to develop and/or implement customers onto our solutions primarily relate to compensation and compensation-related costs and are recognized as an expense on a straight-line basis over the expected customer relationship period.</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have estimated the expected customer relationship period to be </w:t>
      </w:r>
      <w:r>
        <w:rPr>
          <w:rFonts w:ascii="Times New Roman" w:eastAsia="Times New Roman" w:hAnsi="Times New Roman" w:cs="Times New Roman"/>
          <w:b w:val="0"/>
          <w:i w:val="0"/>
          <w:color w:val="000000"/>
          <w:sz w:val="20"/>
          <w:u w:val="none"/>
        </w:rPr>
        <w:t>eight years</w:t>
      </w:r>
      <w:r>
        <w:rPr>
          <w:rFonts w:ascii="Times New Roman" w:eastAsia="Times New Roman" w:hAnsi="Times New Roman" w:cs="Times New Roman"/>
          <w:b w:val="0"/>
          <w:i w:val="0"/>
          <w:color w:val="000000"/>
          <w:sz w:val="20"/>
          <w:u w:val="none"/>
        </w:rPr>
        <w:t>. We use historical client retention statistics to derive the period over which we transfer our services to the customer.</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Contract liabilities, or deferred revenue, includes amounts invoiced to customers in excess of revenue we recognize, and is comprised of deferred SaaS/software, HaaS, Maintenance and support, and Professional services revenue. We recognize deferred revenue when we complete the service and over the terms of the arrangements, primarily ranging from </w:t>
      </w:r>
      <w:r>
        <w:rPr>
          <w:rFonts w:ascii="Times New Roman" w:eastAsia="Times New Roman" w:hAnsi="Times New Roman" w:cs="Times New Roman"/>
          <w:b w:val="0"/>
          <w:i w:val="0"/>
          <w:color w:val="000000"/>
          <w:sz w:val="20"/>
          <w:u w:val="none"/>
        </w:rPr>
        <w:t>one</w:t>
      </w:r>
      <w:r>
        <w:rPr>
          <w:rFonts w:ascii="Times New Roman" w:eastAsia="Times New Roman" w:hAnsi="Times New Roman" w:cs="Times New Roman"/>
          <w:b w:val="0"/>
          <w:i w:val="0"/>
          <w:color w:val="000000"/>
          <w:sz w:val="20"/>
          <w:u w:val="none"/>
        </w:rPr>
        <w:t xml:space="preserve"> to </w:t>
      </w:r>
      <w:r>
        <w:rPr>
          <w:rFonts w:ascii="Times New Roman" w:eastAsia="Times New Roman" w:hAnsi="Times New Roman" w:cs="Times New Roman"/>
          <w:b w:val="0"/>
          <w:i w:val="0"/>
          <w:color w:val="000000"/>
          <w:sz w:val="20"/>
          <w:u w:val="none"/>
        </w:rPr>
        <w:t>five years</w:t>
      </w:r>
      <w:r>
        <w:rPr>
          <w:rFonts w:ascii="Times New Roman" w:eastAsia="Times New Roman" w:hAnsi="Times New Roman" w:cs="Times New Roman"/>
          <w:b w:val="0"/>
          <w:i w:val="0"/>
          <w:color w:val="000000"/>
          <w:sz w:val="20"/>
          <w:u w:val="none"/>
        </w:rPr>
        <w:t xml:space="preserve"> or over the term of the arrangement using the same output-based revenue recognition method associated with the applicable performance obligation of the contract.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ADVERTISING COSTS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single"/>
        </w:rPr>
      </w:pPr>
      <w:r>
        <w:rPr>
          <w:rFonts w:ascii="Times New Roman" w:eastAsia="Times New Roman" w:hAnsi="Times New Roman" w:cs="Times New Roman"/>
          <w:b w:val="0"/>
          <w:i w:val="0"/>
          <w:color w:val="000000"/>
          <w:sz w:val="20"/>
          <w:u w:val="none"/>
        </w:rPr>
        <w:t>We expense advertising costs as we incur them. Advertising expens</w:t>
      </w:r>
      <w:r>
        <w:rPr>
          <w:rFonts w:ascii="Times New Roman" w:eastAsia="Times New Roman" w:hAnsi="Times New Roman" w:cs="Times New Roman"/>
          <w:b w:val="0"/>
          <w:i w:val="0"/>
          <w:color w:val="000000"/>
          <w:sz w:val="20"/>
          <w:highlight w:val="white"/>
          <w:u w:val="none"/>
        </w:rPr>
        <w:t xml:space="preserve">es were </w:t>
      </w:r>
      <w:r>
        <w:rPr>
          <w:rFonts w:ascii="Times New Roman" w:eastAsia="Times New Roman" w:hAnsi="Times New Roman" w:cs="Times New Roman"/>
          <w:b w:val="0"/>
          <w:i w:val="0"/>
          <w:color w:val="000000"/>
          <w:sz w:val="20"/>
          <w:u w:val="none"/>
        </w:rPr>
        <w:t>$1,993</w:t>
      </w:r>
      <w:r>
        <w:rPr>
          <w:rFonts w:ascii="Times New Roman" w:eastAsia="Times New Roman" w:hAnsi="Times New Roman" w:cs="Times New Roman"/>
          <w:b w:val="0"/>
          <w:i w:val="0"/>
          <w:color w:val="000000"/>
          <w:sz w:val="20"/>
          <w:highlight w:val="white"/>
          <w:u w:val="none"/>
        </w:rPr>
        <w:t xml:space="preserve"> and </w:t>
      </w:r>
      <w:r>
        <w:rPr>
          <w:rFonts w:ascii="Times New Roman" w:eastAsia="Times New Roman" w:hAnsi="Times New Roman" w:cs="Times New Roman"/>
          <w:b w:val="0"/>
          <w:i w:val="0"/>
          <w:color w:val="000000"/>
          <w:sz w:val="20"/>
          <w:u w:val="none"/>
        </w:rPr>
        <w:t>$1,991</w:t>
      </w:r>
      <w:r>
        <w:rPr>
          <w:rFonts w:ascii="Times New Roman" w:eastAsia="Times New Roman" w:hAnsi="Times New Roman" w:cs="Times New Roman"/>
          <w:b w:val="0"/>
          <w:i w:val="0"/>
          <w:color w:val="000000"/>
          <w:sz w:val="20"/>
          <w:highlight w:val="white"/>
          <w:u w:val="none"/>
        </w:rPr>
        <w:t xml:space="preserve"> f</w:t>
      </w:r>
      <w:r>
        <w:rPr>
          <w:rFonts w:ascii="Times New Roman" w:eastAsia="Times New Roman" w:hAnsi="Times New Roman" w:cs="Times New Roman"/>
          <w:b w:val="0"/>
          <w:i w:val="0"/>
          <w:color w:val="000000"/>
          <w:sz w:val="20"/>
          <w:u w:val="none"/>
        </w:rPr>
        <w:t>or the years ended December 31, 2025 and 2024, respectively. We recorded these expenses as part of sales and marketing expenses on our Consolidated Statements of Comprehensive Loss.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LEASE OBLIGATIONS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At the commencement date of a lease, we classify the lease as either an operating or finance lease in accordance with ASC 842 depending on the terms of the lease agreement. We recognize a liability to make lease payments and an asset representing either the leased asset or the right-of-use underlying asset during the lease term. The lease liability is measured at the present value of lease payments over the lease term. As our leases typically do not provide an implicit rate, we use our incremental borrowing rate based on the information available at the commencement date taking into consideration necessary adjustments for collateral, depending on the facts and circumstances of the lessee and the leased asset, and term to match the lease term. The lease asset is measured at cost, which includes the initial measurement of the lease liability and initial direct costs incurred by us and excludes lease incentives. Operating lease assets are shown separately in our Consolidated Balance Sheets from finance lease assets, which are included in property and equipment, net. Lease liabilities are shown separately in our Consolidated Balance Sheets, and include both operating and finance lease liabilities.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Operating lease terms may include options to extend or terminate the lease when it is reasonably certain that we will exercise that option. Operating lease costs are recognized on a straight-line basis over the lease term. Finance lease costs are recognized using the effective interest method. Lease agreements that contain both lease and non-lease components are generally accounted for separately.</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INCOME TAXES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account for income taxes using the liability method under ASC 740, Accounting for Income Taxes, which requires recognition of deferred tax assets and liabilities for the expected future tax consequences of events included in the financial statements. Under the liability method, we determine deferred tax assets and liabilities based on the difference between the financial statement and tax bases of assets and liabilities using enacted tax rates in effect in the years in which we expect the differences to reverse. We reduce deferred tax assets by a valuation allowance when it is more likely than not that we will not realize some component or all of the deferred tax assets.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SHARE BASED COMPENSATION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estimate the fair value of each award granted from our stock option plan at the date of grant using the Black-Scholes option pricing model. The fair value is recognized as expense over the service period, net of estimated forfeitures, using the straight-line method. The estimation of share-based awards that will ultimately vest requires judgment, and, to the extent actual results or updated estimates differ from current estimates, such amounts will be recorded as a cumulative adjustment in the period estimates are revised. We primarily consider historical experience when estimating expected forfeitures.</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28" w:name="Section29"/>
      <w:bookmarkEnd w:id="28"/>
    </w:p>
    <w:p>
      <w:pPr>
        <w:keepNext/>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 xml:space="preserve">NOTE 2 - </w:t>
      </w:r>
      <w:r>
        <w:rPr>
          <w:rFonts w:ascii="Times New Roman" w:eastAsia="Times New Roman" w:hAnsi="Times New Roman" w:cs="Times New Roman"/>
          <w:b/>
          <w:i w:val="0"/>
          <w:color w:val="000000"/>
          <w:sz w:val="20"/>
          <w:u w:val="none"/>
        </w:rPr>
        <w:t>BUSINESS COMBINATIONS AND ASSET ACQUISITIONS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2025</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single"/>
        </w:rPr>
      </w:pPr>
      <w:r>
        <w:rPr>
          <w:rFonts w:ascii="Times New Roman" w:eastAsia="Times New Roman" w:hAnsi="Times New Roman" w:cs="Times New Roman"/>
          <w:b w:val="0"/>
          <w:i/>
          <w:color w:val="000000"/>
          <w:sz w:val="20"/>
          <w:u w:val="none"/>
        </w:rPr>
        <w:t>Business Combinations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Effective July 1, 2025, we acquired </w:t>
      </w:r>
      <w:r>
        <w:rPr>
          <w:rFonts w:ascii="Times New Roman" w:eastAsia="Times New Roman" w:hAnsi="Times New Roman" w:cs="Times New Roman"/>
          <w:b w:val="0"/>
          <w:i w:val="0"/>
          <w:color w:val="000000"/>
          <w:sz w:val="20"/>
          <w:u w:val="none"/>
        </w:rPr>
        <w:t>100%</w:t>
      </w:r>
      <w:r>
        <w:rPr>
          <w:rFonts w:ascii="Times New Roman" w:eastAsia="Times New Roman" w:hAnsi="Times New Roman" w:cs="Times New Roman"/>
          <w:b w:val="0"/>
          <w:i w:val="0"/>
          <w:color w:val="000000"/>
          <w:sz w:val="20"/>
          <w:u w:val="none"/>
        </w:rPr>
        <w:t xml:space="preserve"> of the membership interests of Lathem Time 2025 LLC (f/k/a Lathem Time Corporation, “Lathem”), whose technology will be used to expand the capabilities of our broader suite of HR solutions, specifically in timekeeping systems. The aggregate purchase price that we paid for the membership interests was $39,497, consisting of $37,500 paid in cash on hand and the remaining $2,221 in the form of a promissory note ($1,997 net of discount).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the amounts of assets acquired and liabilities assumed at the acquisition date, valued at their estimated acquisition-date fair value:</w:t>
      </w:r>
    </w:p>
    <w:tbl>
      <w:tblPr>
        <w:tblW w:w="6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800"/>
        <w:gridCol w:w="1740"/>
      </w:tblGrid>
      <w:tr>
        <w:tblPrEx>
          <w:tblW w:w="6540" w:type="dxa"/>
          <w:tblLayout w:type="fixed"/>
        </w:tblPrEx>
        <w:trPr>
          <w:cantSplit/>
          <w:trHeight w:hRule="exact" w:val="465"/>
        </w:trPr>
        <w:tc>
          <w:tcPr>
            <w:tcW w:w="48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7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Acquisition Date Fair Value</w:t>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ind w:left="120"/>
              <w:jc w:val="left"/>
            </w:pPr>
            <w:r>
              <w:rPr>
                <w:rFonts w:ascii="Times New Roman" w:eastAsia="Times New Roman" w:hAnsi="Times New Roman" w:cs="Times New Roman"/>
                <w:b w:val="0"/>
                <w:i w:val="0"/>
                <w:color w:val="000000"/>
                <w:sz w:val="20"/>
                <w:u w:val="none"/>
              </w:rPr>
              <w:t>Accounts receivable</w:t>
            </w:r>
          </w:p>
        </w:tc>
        <w:tc>
          <w:tcPr>
            <w:tcW w:w="17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7"/>
                <w:tab w:val="left" w:pos="1672"/>
              </w:tabs>
              <w:spacing w:before="33" w:after="30" w:line="240" w:lineRule="auto"/>
              <w:jc w:val="right"/>
            </w:pPr>
            <w:r>
              <w:rPr>
                <w:rFonts w:ascii="Times New Roman" w:eastAsia="Times New Roman" w:hAnsi="Times New Roman" w:cs="Times New Roman"/>
                <w:b w:val="0"/>
                <w:i w:val="0"/>
                <w:color w:val="000000"/>
                <w:sz w:val="20"/>
                <w:u w:val="none"/>
              </w:rPr>
              <w:t>$</w:t>
              <w:tab/>
              <w:t>2,020</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Inventory</w:t>
            </w:r>
          </w:p>
        </w:tc>
        <w:tc>
          <w:tcPr>
            <w:tcW w:w="17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7"/>
                <w:tab w:val="left" w:pos="1672"/>
              </w:tabs>
              <w:spacing w:before="53" w:after="30" w:line="240" w:lineRule="auto"/>
              <w:jc w:val="right"/>
            </w:pPr>
            <w:r>
              <w:rPr>
                <w:rFonts w:ascii="Times New Roman" w:eastAsia="Times New Roman" w:hAnsi="Times New Roman" w:cs="Times New Roman"/>
                <w:b w:val="0"/>
                <w:i w:val="0"/>
                <w:color w:val="000000"/>
                <w:sz w:val="20"/>
                <w:u w:val="none"/>
              </w:rPr>
              <w:tab/>
              <w:t>3,380</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Prepaid expenses and other current assets</w:t>
            </w: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177</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Property and equipment, net</w:t>
            </w:r>
          </w:p>
        </w:tc>
        <w:tc>
          <w:tcPr>
            <w:tcW w:w="17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185</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Intangible assets, net</w:t>
            </w: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7"/>
                <w:tab w:val="left" w:pos="1672"/>
              </w:tabs>
              <w:spacing w:before="53" w:after="30" w:line="240" w:lineRule="auto"/>
              <w:jc w:val="right"/>
            </w:pPr>
            <w:r>
              <w:rPr>
                <w:rFonts w:ascii="Times New Roman" w:eastAsia="Times New Roman" w:hAnsi="Times New Roman" w:cs="Times New Roman"/>
                <w:b w:val="0"/>
                <w:i w:val="0"/>
                <w:color w:val="000000"/>
                <w:sz w:val="20"/>
                <w:u w:val="none"/>
              </w:rPr>
              <w:tab/>
              <w:t>16,500</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Operating lease assets, net</w:t>
            </w:r>
          </w:p>
        </w:tc>
        <w:tc>
          <w:tcPr>
            <w:tcW w:w="17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826</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Other assets, net</w:t>
            </w:r>
          </w:p>
        </w:tc>
        <w:tc>
          <w:tcPr>
            <w:tcW w:w="17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777</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assets acquired</w:t>
            </w:r>
          </w:p>
        </w:tc>
        <w:tc>
          <w:tcPr>
            <w:tcW w:w="17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7"/>
                <w:tab w:val="left" w:pos="1672"/>
              </w:tabs>
              <w:spacing w:before="33" w:after="30" w:line="240" w:lineRule="auto"/>
              <w:jc w:val="right"/>
            </w:pPr>
            <w:r>
              <w:rPr>
                <w:rFonts w:ascii="Times New Roman" w:eastAsia="Times New Roman" w:hAnsi="Times New Roman" w:cs="Times New Roman"/>
                <w:b w:val="0"/>
                <w:i w:val="0"/>
                <w:color w:val="000000"/>
                <w:sz w:val="20"/>
                <w:u w:val="none"/>
              </w:rPr>
              <w:tab/>
              <w:t>23,865</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Accounts payable</w:t>
            </w: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474</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Operating lease liabilities, current</w:t>
            </w:r>
          </w:p>
        </w:tc>
        <w:tc>
          <w:tcPr>
            <w:tcW w:w="17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826</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Other accrued liabilities</w:t>
            </w: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615</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Deferred revenue</w:t>
            </w:r>
          </w:p>
        </w:tc>
        <w:tc>
          <w:tcPr>
            <w:tcW w:w="17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7"/>
                <w:tab w:val="left" w:pos="1672"/>
              </w:tabs>
              <w:spacing w:before="53" w:after="30" w:line="240" w:lineRule="auto"/>
              <w:jc w:val="right"/>
            </w:pPr>
            <w:r>
              <w:rPr>
                <w:rFonts w:ascii="Times New Roman" w:eastAsia="Times New Roman" w:hAnsi="Times New Roman" w:cs="Times New Roman"/>
                <w:b w:val="0"/>
                <w:i w:val="0"/>
                <w:color w:val="000000"/>
                <w:sz w:val="20"/>
                <w:u w:val="none"/>
              </w:rPr>
              <w:tab/>
              <w:t>3,488</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liabilities assumed</w:t>
            </w:r>
          </w:p>
        </w:tc>
        <w:tc>
          <w:tcPr>
            <w:tcW w:w="17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7"/>
                <w:tab w:val="left" w:pos="1672"/>
              </w:tabs>
              <w:spacing w:before="33" w:after="30" w:line="240" w:lineRule="auto"/>
              <w:jc w:val="right"/>
            </w:pPr>
            <w:r>
              <w:rPr>
                <w:rFonts w:ascii="Times New Roman" w:eastAsia="Times New Roman" w:hAnsi="Times New Roman" w:cs="Times New Roman"/>
                <w:b w:val="0"/>
                <w:i w:val="0"/>
                <w:color w:val="000000"/>
                <w:sz w:val="20"/>
                <w:u w:val="none"/>
              </w:rPr>
              <w:tab/>
              <w:t>5,403</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net assets acquired</w:t>
            </w:r>
          </w:p>
        </w:tc>
        <w:tc>
          <w:tcPr>
            <w:tcW w:w="17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7"/>
                <w:tab w:val="left" w:pos="1672"/>
              </w:tabs>
              <w:spacing w:before="33" w:after="30" w:line="240" w:lineRule="auto"/>
              <w:jc w:val="right"/>
            </w:pPr>
            <w:r>
              <w:rPr>
                <w:rFonts w:ascii="Times New Roman" w:eastAsia="Times New Roman" w:hAnsi="Times New Roman" w:cs="Times New Roman"/>
                <w:b w:val="0"/>
                <w:i w:val="0"/>
                <w:color w:val="000000"/>
                <w:sz w:val="20"/>
                <w:u w:val="none"/>
              </w:rPr>
              <w:tab/>
              <w:t>18,462</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Goodwill</w:t>
            </w:r>
          </w:p>
        </w:tc>
        <w:tc>
          <w:tcPr>
            <w:tcW w:w="17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57"/>
                <w:tab w:val="left" w:pos="1672"/>
              </w:tabs>
              <w:spacing w:before="53" w:after="30" w:line="240" w:lineRule="auto"/>
              <w:jc w:val="right"/>
            </w:pPr>
            <w:r>
              <w:rPr>
                <w:rFonts w:ascii="Times New Roman" w:eastAsia="Times New Roman" w:hAnsi="Times New Roman" w:cs="Times New Roman"/>
                <w:b w:val="0"/>
                <w:i w:val="0"/>
                <w:color w:val="000000"/>
                <w:sz w:val="20"/>
                <w:u w:val="none"/>
              </w:rPr>
              <w:tab/>
              <w:t>21,035</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 purchase price</w:t>
            </w:r>
          </w:p>
        </w:tc>
        <w:tc>
          <w:tcPr>
            <w:tcW w:w="17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057"/>
                <w:tab w:val="left" w:pos="1672"/>
              </w:tabs>
              <w:spacing w:before="33" w:after="30" w:line="240" w:lineRule="auto"/>
              <w:jc w:val="right"/>
            </w:pPr>
            <w:r>
              <w:rPr>
                <w:rFonts w:ascii="Times New Roman" w:eastAsia="Times New Roman" w:hAnsi="Times New Roman" w:cs="Times New Roman"/>
                <w:b w:val="0"/>
                <w:i w:val="0"/>
                <w:color w:val="000000"/>
                <w:sz w:val="20"/>
                <w:u w:val="none"/>
              </w:rPr>
              <w:t>$</w:t>
              <w:tab/>
              <w:t>39,497</w:t>
              <w:tab/>
            </w:r>
          </w:p>
        </w:tc>
      </w:tr>
    </w:tbl>
    <w:p>
      <w:pPr>
        <w:keepNext w:val="0"/>
        <w:keepLines/>
        <w:pageBreakBefore w:val="0"/>
        <w:widowControl w:val="0"/>
        <w:numPr>
          <w:ilvl w:val="0"/>
          <w:numId w:val="0"/>
        </w:numPr>
        <w:spacing w:before="0" w:after="0" w:line="276" w:lineRule="auto"/>
        <w:ind w:left="0" w:right="0" w:firstLine="0"/>
        <w:jc w:val="left"/>
        <w:outlineLvl w:val="9"/>
        <w:rPr>
          <w:rFonts w:ascii="Arial" w:eastAsia="Arial" w:hAnsi="Arial" w:cs="Arial"/>
          <w:b w:val="0"/>
          <w:i w:val="0"/>
          <w:color w:val="000000"/>
          <w:sz w:val="24"/>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goodwill of $21,035 arising from the acquisition consists largely of the synergies and economies of scale expected from combining our operations with Lathem and is expected to be deductible for tax purposes.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Lathem contributed net revenues of $9,262, of which $5,420 are recurring revenues, and net income of $1,416 to our consolidated total operating activity from the acquisition date of July 1, 2025, through December 31, 2025.</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unaudited pro forma financial information presents combined results of operations for each of the periods presented as if the transaction had occurred as of January 1, 2024, prepared in accordance with ASC 805:</w:t>
      </w:r>
    </w:p>
    <w:tbl>
      <w:tblPr>
        <w:tblW w:w="6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600"/>
        <w:gridCol w:w="1605"/>
        <w:gridCol w:w="75"/>
        <w:gridCol w:w="1605"/>
      </w:tblGrid>
      <w:tr>
        <w:tblPrEx>
          <w:tblW w:w="6885" w:type="dxa"/>
          <w:tblLayout w:type="fixed"/>
        </w:tblPrEx>
        <w:trPr>
          <w:cantSplit/>
          <w:trHeight w:hRule="exact" w:val="285"/>
        </w:trPr>
        <w:tc>
          <w:tcPr>
            <w:tcW w:w="360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285" w:type="dxa"/>
            <w:gridSpan w:val="3"/>
            <w:tcBorders>
              <w:top w:val="nil"/>
              <w:left w:val="nil"/>
              <w:bottom w:val="single" w:sz="8" w:space="0" w:color="000000"/>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center"/>
              <w:outlineLvl w:val="9"/>
              <w:rPr>
                <w:rFonts w:ascii="Times New Roman" w:eastAsia="Times New Roman" w:hAnsi="Times New Roman" w:cs="Times New Roman"/>
                <w:b/>
                <w:i w:val="0"/>
                <w:sz w:val="24"/>
              </w:rPr>
            </w:pPr>
            <w:r>
              <w:rPr>
                <w:rFonts w:ascii="Times New Roman" w:eastAsia="Times New Roman" w:hAnsi="Times New Roman" w:cs="Times New Roman"/>
                <w:b/>
                <w:i w:val="0"/>
                <w:sz w:val="20"/>
              </w:rPr>
              <w:t>Year</w:t>
            </w:r>
            <w:r>
              <w:rPr>
                <w:rFonts w:ascii="Times New Roman" w:eastAsia="Times New Roman" w:hAnsi="Times New Roman" w:cs="Times New Roman"/>
                <w:b/>
                <w:i w:val="0"/>
                <w:sz w:val="20"/>
              </w:rPr>
              <w:t xml:space="preserve"> Ended </w:t>
            </w:r>
            <w:r>
              <w:rPr>
                <w:rFonts w:ascii="Times New Roman" w:eastAsia="Times New Roman" w:hAnsi="Times New Roman" w:cs="Times New Roman"/>
                <w:b/>
                <w:i w:val="0"/>
                <w:sz w:val="20"/>
              </w:rPr>
              <w:t>Dec</w:t>
            </w:r>
            <w:r>
              <w:rPr>
                <w:rFonts w:ascii="Times New Roman" w:eastAsia="Times New Roman" w:hAnsi="Times New Roman" w:cs="Times New Roman"/>
                <w:b/>
                <w:i w:val="0"/>
                <w:sz w:val="20"/>
              </w:rPr>
              <w:t>ember 3</w:t>
            </w:r>
            <w:r>
              <w:rPr>
                <w:rFonts w:ascii="Times New Roman" w:eastAsia="Times New Roman" w:hAnsi="Times New Roman" w:cs="Times New Roman"/>
                <w:b/>
                <w:i w:val="0"/>
                <w:sz w:val="20"/>
              </w:rPr>
              <w:t>1</w:t>
            </w:r>
            <w:r>
              <w:rPr>
                <w:rFonts w:ascii="Times New Roman" w:eastAsia="Times New Roman" w:hAnsi="Times New Roman" w:cs="Times New Roman"/>
                <w:b/>
                <w:i w:val="0"/>
                <w:sz w:val="20"/>
              </w:rPr>
              <w:t>,</w:t>
            </w:r>
          </w:p>
        </w:tc>
      </w:tr>
      <w:tr>
        <w:tblPrEx>
          <w:tblW w:w="6885" w:type="dxa"/>
          <w:tblLayout w:type="fixed"/>
        </w:tblPrEx>
        <w:trPr>
          <w:cantSplit/>
          <w:trHeight w:hRule="exact" w:val="285"/>
        </w:trPr>
        <w:tc>
          <w:tcPr>
            <w:tcW w:w="360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605" w:type="dxa"/>
            <w:tcBorders>
              <w:top w:val="nil"/>
              <w:left w:val="nil"/>
              <w:bottom w:val="single" w:sz="8" w:space="0" w:color="000000"/>
              <w:right w:val="nil"/>
            </w:tcBorders>
            <w:tcMar>
              <w:top w:w="0" w:type="dxa"/>
              <w:left w:w="53" w:type="dxa"/>
              <w:bottom w:w="0" w:type="dxa"/>
              <w:right w:w="53" w:type="dxa"/>
            </w:tcMar>
            <w:vAlign w:val="top"/>
          </w:tcPr>
          <w:p>
            <w:pPr>
              <w:pageBreakBefore w:val="0"/>
              <w:numPr>
                <w:ilvl w:val="0"/>
                <w:numId w:val="0"/>
              </w:numPr>
              <w:spacing w:before="33" w:after="30" w:line="269" w:lineRule="auto"/>
              <w:ind w:left="0" w:right="0" w:firstLine="0"/>
              <w:jc w:val="center"/>
              <w:outlineLvl w:val="9"/>
              <w:rPr>
                <w:rFonts w:ascii="Times New Roman" w:eastAsia="Times New Roman" w:hAnsi="Times New Roman" w:cs="Times New Roman"/>
                <w:b/>
                <w:i w:val="0"/>
                <w:sz w:val="24"/>
              </w:rPr>
            </w:pPr>
            <w:r>
              <w:rPr>
                <w:rFonts w:ascii="Times New Roman" w:eastAsia="Times New Roman" w:hAnsi="Times New Roman" w:cs="Times New Roman"/>
                <w:b/>
                <w:i w:val="0"/>
                <w:sz w:val="20"/>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pageBreakBefore w:val="0"/>
              <w:spacing w:before="0" w:after="0"/>
            </w:pPr>
          </w:p>
        </w:tc>
        <w:tc>
          <w:tcPr>
            <w:tcW w:w="1605" w:type="dxa"/>
            <w:tcBorders>
              <w:top w:val="single" w:sz="8" w:space="0" w:color="000000"/>
              <w:left w:val="nil"/>
              <w:bottom w:val="single" w:sz="8" w:space="0" w:color="000000"/>
              <w:right w:val="nil"/>
            </w:tcBorders>
            <w:tcMar>
              <w:top w:w="0" w:type="dxa"/>
              <w:left w:w="53" w:type="dxa"/>
              <w:bottom w:w="0" w:type="dxa"/>
              <w:right w:w="53" w:type="dxa"/>
            </w:tcMar>
            <w:vAlign w:val="top"/>
          </w:tcPr>
          <w:p>
            <w:pPr>
              <w:pageBreakBefore w:val="0"/>
              <w:numPr>
                <w:ilvl w:val="0"/>
                <w:numId w:val="0"/>
              </w:numPr>
              <w:spacing w:before="33" w:after="30" w:line="269" w:lineRule="auto"/>
              <w:ind w:left="0" w:right="0" w:firstLine="0"/>
              <w:jc w:val="center"/>
              <w:outlineLvl w:val="9"/>
              <w:rPr>
                <w:rFonts w:ascii="Times New Roman" w:eastAsia="Times New Roman" w:hAnsi="Times New Roman" w:cs="Times New Roman"/>
                <w:b/>
                <w:i w:val="0"/>
                <w:sz w:val="24"/>
              </w:rPr>
            </w:pPr>
            <w:r>
              <w:rPr>
                <w:rFonts w:ascii="Times New Roman" w:eastAsia="Times New Roman" w:hAnsi="Times New Roman" w:cs="Times New Roman"/>
                <w:b/>
                <w:i w:val="0"/>
                <w:sz w:val="20"/>
              </w:rPr>
              <w:t>2024</w:t>
            </w:r>
          </w:p>
        </w:tc>
      </w:tr>
      <w:tr>
        <w:tblPrEx>
          <w:tblW w:w="6885" w:type="dxa"/>
          <w:tblLayout w:type="fixed"/>
        </w:tblPrEx>
        <w:trPr>
          <w:cantSplit/>
          <w:trHeight w:hRule="exact" w:val="285"/>
        </w:trPr>
        <w:tc>
          <w:tcPr>
            <w:tcW w:w="3600" w:type="dxa"/>
            <w:tcBorders>
              <w:top w:val="nil"/>
              <w:left w:val="nil"/>
              <w:bottom w:val="nil"/>
              <w:right w:val="nil"/>
            </w:tcBorders>
            <w:shd w:val="clear" w:color="auto" w:fill="CCEEFF"/>
            <w:tcMar>
              <w:top w:w="0" w:type="dxa"/>
              <w:left w:w="53" w:type="dxa"/>
              <w:bottom w:w="0" w:type="dxa"/>
              <w:right w:w="53" w:type="dxa"/>
            </w:tcMar>
            <w:vAlign w:val="top"/>
          </w:tcPr>
          <w:p>
            <w:pPr>
              <w:pageBreakBefore w:val="0"/>
              <w:numPr>
                <w:ilvl w:val="0"/>
                <w:numId w:val="0"/>
              </w:numPr>
              <w:spacing w:before="33" w:after="30" w:line="269" w:lineRule="auto"/>
              <w:ind w:left="0" w:right="0" w:firstLine="0"/>
              <w:jc w:val="left"/>
              <w:outlineLvl w:val="9"/>
              <w:rPr>
                <w:rFonts w:ascii="Times New Roman" w:eastAsia="Times New Roman" w:hAnsi="Times New Roman" w:cs="Times New Roman"/>
                <w:b w:val="0"/>
                <w:i w:val="0"/>
                <w:sz w:val="24"/>
              </w:rPr>
            </w:pPr>
            <w:r>
              <w:rPr>
                <w:rFonts w:ascii="Times New Roman" w:eastAsia="Times New Roman" w:hAnsi="Times New Roman" w:cs="Times New Roman"/>
                <w:b w:val="0"/>
                <w:i w:val="0"/>
                <w:sz w:val="20"/>
              </w:rPr>
              <w:t>Total revenue</w:t>
            </w:r>
          </w:p>
        </w:tc>
        <w:tc>
          <w:tcPr>
            <w:tcW w:w="1605" w:type="dxa"/>
            <w:tcBorders>
              <w:top w:val="single" w:sz="8" w:space="0" w:color="000000"/>
              <w:left w:val="nil"/>
              <w:bottom w:val="nil"/>
              <w:right w:val="nil"/>
            </w:tcBorders>
            <w:shd w:val="clear" w:color="auto" w:fill="CCEEFF"/>
            <w:tcMar>
              <w:top w:w="0" w:type="dxa"/>
              <w:left w:w="0" w:type="dxa"/>
              <w:bottom w:w="0" w:type="dxa"/>
              <w:right w:w="15" w:type="dxa"/>
            </w:tcMar>
            <w:vAlign w:val="top"/>
          </w:tcPr>
          <w:p>
            <w:pPr>
              <w:pageBreakBefore w:val="0"/>
              <w:tabs>
                <w:tab w:val="left" w:pos="822"/>
                <w:tab w:val="left" w:pos="1537"/>
              </w:tabs>
              <w:spacing w:before="33" w:after="30" w:line="269" w:lineRule="auto"/>
              <w:jc w:val="right"/>
            </w:pPr>
            <w:r>
              <w:rPr>
                <w:rFonts w:ascii="Times New Roman" w:eastAsia="Times New Roman" w:hAnsi="Times New Roman" w:cs="Times New Roman"/>
                <w:b w:val="0"/>
                <w:i w:val="0"/>
                <w:color w:val="000000"/>
                <w:sz w:val="20"/>
                <w:u w:val="none"/>
              </w:rPr>
              <w:t>$</w:t>
              <w:tab/>
              <w:t>149,917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605" w:type="dxa"/>
            <w:tcBorders>
              <w:top w:val="single" w:sz="8" w:space="0" w:color="000000"/>
              <w:left w:val="nil"/>
              <w:bottom w:val="nil"/>
              <w:right w:val="nil"/>
            </w:tcBorders>
            <w:shd w:val="clear" w:color="auto" w:fill="CCEEFF"/>
            <w:tcMar>
              <w:top w:w="0" w:type="dxa"/>
              <w:left w:w="0" w:type="dxa"/>
              <w:bottom w:w="0" w:type="dxa"/>
              <w:right w:w="15" w:type="dxa"/>
            </w:tcMar>
            <w:vAlign w:val="top"/>
          </w:tcPr>
          <w:p>
            <w:pPr>
              <w:pageBreakBefore w:val="0"/>
              <w:tabs>
                <w:tab w:val="left" w:pos="822"/>
                <w:tab w:val="left" w:pos="1537"/>
              </w:tabs>
              <w:spacing w:before="33" w:after="30" w:line="269" w:lineRule="auto"/>
              <w:jc w:val="right"/>
            </w:pPr>
            <w:r>
              <w:rPr>
                <w:rFonts w:ascii="Times New Roman" w:eastAsia="Times New Roman" w:hAnsi="Times New Roman" w:cs="Times New Roman"/>
                <w:b w:val="0"/>
                <w:i w:val="0"/>
                <w:color w:val="000000"/>
                <w:sz w:val="20"/>
                <w:u w:val="none"/>
              </w:rPr>
              <w:t>$</w:t>
              <w:tab/>
              <w:t>138,108</w:t>
              <w:tab/>
            </w:r>
          </w:p>
        </w:tc>
      </w:tr>
      <w:tr>
        <w:tblPrEx>
          <w:tblW w:w="6885" w:type="dxa"/>
          <w:tblLayout w:type="fixed"/>
        </w:tblPrEx>
        <w:trPr>
          <w:cantSplit/>
          <w:trHeight w:hRule="exact" w:val="285"/>
        </w:trPr>
        <w:tc>
          <w:tcPr>
            <w:tcW w:w="3600" w:type="dxa"/>
            <w:tcBorders>
              <w:top w:val="nil"/>
              <w:left w:val="nil"/>
              <w:bottom w:val="nil"/>
              <w:right w:val="nil"/>
            </w:tcBorders>
            <w:shd w:val="clear" w:color="auto" w:fill="FFFFFF"/>
            <w:tcMar>
              <w:top w:w="0" w:type="dxa"/>
              <w:left w:w="53" w:type="dxa"/>
              <w:bottom w:w="0" w:type="dxa"/>
              <w:right w:w="53" w:type="dxa"/>
            </w:tcMar>
            <w:vAlign w:val="top"/>
          </w:tcPr>
          <w:p>
            <w:pPr>
              <w:pageBreakBefore w:val="0"/>
              <w:numPr>
                <w:ilvl w:val="0"/>
                <w:numId w:val="0"/>
              </w:numPr>
              <w:spacing w:before="53" w:after="30" w:line="269" w:lineRule="auto"/>
              <w:ind w:left="0" w:right="0" w:firstLine="0"/>
              <w:jc w:val="left"/>
              <w:outlineLvl w:val="9"/>
              <w:rPr>
                <w:rFonts w:ascii="Times New Roman" w:eastAsia="Times New Roman" w:hAnsi="Times New Roman" w:cs="Times New Roman"/>
                <w:b w:val="0"/>
                <w:i w:val="0"/>
                <w:sz w:val="24"/>
              </w:rPr>
            </w:pPr>
            <w:r>
              <w:rPr>
                <w:rFonts w:ascii="Times New Roman" w:eastAsia="Times New Roman" w:hAnsi="Times New Roman" w:cs="Times New Roman"/>
                <w:b w:val="0"/>
                <w:i w:val="0"/>
                <w:sz w:val="20"/>
              </w:rPr>
              <w:t>Net loss</w:t>
            </w:r>
          </w:p>
        </w:tc>
        <w:tc>
          <w:tcPr>
            <w:tcW w:w="1605" w:type="dxa"/>
            <w:tcBorders>
              <w:top w:val="nil"/>
              <w:left w:val="nil"/>
              <w:bottom w:val="nil"/>
              <w:right w:val="nil"/>
            </w:tcBorders>
            <w:shd w:val="clear" w:color="auto" w:fill="FFFFFF"/>
            <w:tcMar>
              <w:top w:w="0" w:type="dxa"/>
              <w:left w:w="0" w:type="dxa"/>
              <w:bottom w:w="0" w:type="dxa"/>
              <w:right w:w="15" w:type="dxa"/>
            </w:tcMar>
            <w:vAlign w:val="top"/>
          </w:tcPr>
          <w:p>
            <w:pPr>
              <w:pageBreakBefore w:val="0"/>
              <w:tabs>
                <w:tab w:val="left" w:pos="836"/>
              </w:tabs>
              <w:spacing w:before="53" w:after="30" w:line="269" w:lineRule="auto"/>
              <w:jc w:val="right"/>
            </w:pPr>
            <w:r>
              <w:rPr>
                <w:rFonts w:ascii="Times New Roman" w:eastAsia="Times New Roman" w:hAnsi="Times New Roman" w:cs="Times New Roman"/>
                <w:b w:val="0"/>
                <w:i w:val="0"/>
                <w:color w:val="000000"/>
                <w:sz w:val="20"/>
                <w:u w:val="none"/>
              </w:rPr>
              <w:t>$</w:t>
              <w:tab/>
              <w:t>(14,998)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605" w:type="dxa"/>
            <w:tcBorders>
              <w:top w:val="nil"/>
              <w:left w:val="nil"/>
              <w:bottom w:val="nil"/>
              <w:right w:val="nil"/>
            </w:tcBorders>
            <w:shd w:val="clear" w:color="auto" w:fill="FFFFFF"/>
            <w:tcMar>
              <w:top w:w="0" w:type="dxa"/>
              <w:left w:w="0" w:type="dxa"/>
              <w:bottom w:w="0" w:type="dxa"/>
              <w:right w:w="15" w:type="dxa"/>
            </w:tcMar>
            <w:vAlign w:val="top"/>
          </w:tcPr>
          <w:p>
            <w:pPr>
              <w:pageBreakBefore w:val="0"/>
              <w:tabs>
                <w:tab w:val="left" w:pos="836"/>
              </w:tabs>
              <w:spacing w:before="53" w:after="30" w:line="269" w:lineRule="auto"/>
              <w:jc w:val="right"/>
            </w:pPr>
            <w:r>
              <w:rPr>
                <w:rFonts w:ascii="Times New Roman" w:eastAsia="Times New Roman" w:hAnsi="Times New Roman" w:cs="Times New Roman"/>
                <w:b w:val="0"/>
                <w:i w:val="0"/>
                <w:color w:val="000000"/>
                <w:sz w:val="20"/>
                <w:u w:val="none"/>
              </w:rPr>
              <w:t>$</w:t>
              <w:tab/>
              <w:t>(16,442)</w:t>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Pro forma earnings for the year ended December 31, 2025, were adjusted to exclude $733 of legal costs associated with the acquisition that were recognized in general and administrative expense. Pro forma earnings for the year ended December 31, 2024, were adjusted to include these charges.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val="0"/>
          <w:i/>
          <w:color w:val="000000"/>
          <w:sz w:val="20"/>
          <w:u w:val="none"/>
        </w:rPr>
        <w:t>Asset Acquisitions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During the</w:t>
      </w:r>
      <w:r>
        <w:rPr>
          <w:rFonts w:ascii="Times New Roman" w:eastAsia="Times New Roman" w:hAnsi="Times New Roman" w:cs="Times New Roman"/>
          <w:b w:val="0"/>
          <w:i w:val="0"/>
          <w:color w:val="000000"/>
          <w:sz w:val="20"/>
          <w:highlight w:val="white"/>
          <w:u w:val="none"/>
        </w:rPr>
        <w:t xml:space="preserve"> </w:t>
      </w:r>
      <w:r>
        <w:rPr>
          <w:rFonts w:ascii="Times New Roman" w:eastAsia="Times New Roman" w:hAnsi="Times New Roman" w:cs="Times New Roman"/>
          <w:b w:val="0"/>
          <w:i w:val="0"/>
          <w:color w:val="000000"/>
          <w:sz w:val="20"/>
          <w:u w:val="none"/>
        </w:rPr>
        <w:t>year ended December 31, 2025, we completed seven customer relationship asset acquisitions. The total purchase price of these acquisitions was $20,523, which consisted of $16,019 of cash paid during the year ended December 31, 2025</w:t>
      </w:r>
      <w:r>
        <w:rPr>
          <w:rFonts w:ascii="Times New Roman" w:eastAsia="Times New Roman" w:hAnsi="Times New Roman" w:cs="Times New Roman"/>
          <w:b w:val="0"/>
          <w:i w:val="0"/>
          <w:color w:val="000000"/>
          <w:sz w:val="20"/>
          <w:highlight w:val="white"/>
          <w:u w:val="none"/>
        </w:rPr>
        <w:t xml:space="preserve">, </w:t>
      </w:r>
      <w:r>
        <w:rPr>
          <w:rFonts w:ascii="Times New Roman" w:eastAsia="Times New Roman" w:hAnsi="Times New Roman" w:cs="Times New Roman"/>
          <w:b w:val="0"/>
          <w:i w:val="0"/>
          <w:color w:val="000000"/>
          <w:sz w:val="20"/>
          <w:u w:val="none"/>
        </w:rPr>
        <w:t xml:space="preserve">$56 of cash to be paid over the next 12 months, the delivery of promissory notes in the amount of $3,492, net of discounts, and the delivery of 124 shares of Asure common stock, which had an aggregate fair value of $956 at the respective acquisition dates. The purchase prices for certain of these acquisitions are subject to adjustments for contingent events which are generally expected to occur over the next </w:t>
      </w:r>
      <w:r>
        <w:rPr>
          <w:rFonts w:ascii="Times New Roman" w:eastAsia="Times New Roman" w:hAnsi="Times New Roman" w:cs="Times New Roman"/>
          <w:b w:val="0"/>
          <w:i w:val="0"/>
          <w:color w:val="000000"/>
          <w:sz w:val="20"/>
          <w:u w:val="none"/>
        </w:rPr>
        <w:t>twelve months</w:t>
      </w:r>
      <w:r>
        <w:rPr>
          <w:rFonts w:ascii="Times New Roman" w:eastAsia="Times New Roman" w:hAnsi="Times New Roman" w:cs="Times New Roman"/>
          <w:b w:val="0"/>
          <w:i w:val="0"/>
          <w:color w:val="000000"/>
          <w:sz w:val="20"/>
          <w:u w:val="none"/>
        </w:rPr>
        <w:t xml:space="preserve"> following December 31, 2025, including revenue generated from the acquired assets. The acquired customer relationships are recorded as intangible assets and are being amortized on a straight-line basis over eight years.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i w:val="0"/>
          <w:color w:val="000000"/>
          <w:sz w:val="20"/>
          <w:u w:val="none"/>
        </w:rPr>
        <w:t>2024</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val="0"/>
          <w:i/>
          <w:color w:val="000000"/>
          <w:sz w:val="20"/>
          <w:u w:val="none"/>
        </w:rPr>
        <w:t>Business Combinations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Effective July 11, 2024, we purchased substantially all the assets of an applicant tracking technology company based out of South Dakota for an innovative hiring solution designed to streamline the recruitment process for businesses. This strategic acquisition reinforces Asure’s commitment to delivering comprehensive, user-friendly tools that simplify people management. The aggregate purchase price paid for the business was </w:t>
      </w:r>
      <w:r>
        <w:rPr>
          <w:rFonts w:ascii="Times New Roman" w:eastAsia="Times New Roman" w:hAnsi="Times New Roman" w:cs="Times New Roman"/>
          <w:b w:val="0"/>
          <w:i w:val="0"/>
          <w:color w:val="000000"/>
          <w:sz w:val="20"/>
          <w:u w:val="none"/>
        </w:rPr>
        <w:t>$15,162</w:t>
      </w:r>
      <w:r>
        <w:rPr>
          <w:rFonts w:ascii="Times New Roman" w:eastAsia="Times New Roman" w:hAnsi="Times New Roman" w:cs="Times New Roman"/>
          <w:b w:val="0"/>
          <w:i w:val="0"/>
          <w:color w:val="000000"/>
          <w:sz w:val="20"/>
          <w:u w:val="none"/>
        </w:rPr>
        <w:t xml:space="preserve">, consisting of </w:t>
      </w:r>
      <w:r>
        <w:rPr>
          <w:rFonts w:ascii="Times New Roman" w:eastAsia="Times New Roman" w:hAnsi="Times New Roman" w:cs="Times New Roman"/>
          <w:b w:val="0"/>
          <w:i w:val="0"/>
          <w:color w:val="000000"/>
          <w:sz w:val="20"/>
          <w:u w:val="none"/>
        </w:rPr>
        <w:t>$7,900</w:t>
      </w:r>
      <w:r>
        <w:rPr>
          <w:rFonts w:ascii="Times New Roman" w:eastAsia="Times New Roman" w:hAnsi="Times New Roman" w:cs="Times New Roman"/>
          <w:b w:val="0"/>
          <w:i w:val="0"/>
          <w:color w:val="000000"/>
          <w:sz w:val="20"/>
          <w:u w:val="none"/>
        </w:rPr>
        <w:t xml:space="preserve"> paid in cash on hand, </w:t>
      </w:r>
      <w:r>
        <w:rPr>
          <w:rFonts w:ascii="Times New Roman" w:eastAsia="Times New Roman" w:hAnsi="Times New Roman" w:cs="Times New Roman"/>
          <w:b w:val="0"/>
          <w:i w:val="0"/>
          <w:color w:val="000000"/>
          <w:sz w:val="20"/>
          <w:u w:val="none"/>
        </w:rPr>
        <w:t>$3,000</w:t>
      </w:r>
      <w:r>
        <w:rPr>
          <w:rFonts w:ascii="Times New Roman" w:eastAsia="Times New Roman" w:hAnsi="Times New Roman" w:cs="Times New Roman"/>
          <w:b w:val="0"/>
          <w:i w:val="0"/>
          <w:color w:val="000000"/>
          <w:sz w:val="20"/>
          <w:u w:val="none"/>
        </w:rPr>
        <w:t xml:space="preserve"> in the form of a promissory note (</w:t>
      </w:r>
      <w:r>
        <w:rPr>
          <w:rFonts w:ascii="Times New Roman" w:eastAsia="Times New Roman" w:hAnsi="Times New Roman" w:cs="Times New Roman"/>
          <w:b w:val="0"/>
          <w:i w:val="0"/>
          <w:color w:val="000000"/>
          <w:sz w:val="20"/>
          <w:u w:val="none"/>
        </w:rPr>
        <w:t>$1,716</w:t>
      </w:r>
      <w:r>
        <w:rPr>
          <w:rFonts w:ascii="Times New Roman" w:eastAsia="Times New Roman" w:hAnsi="Times New Roman" w:cs="Times New Roman"/>
          <w:b w:val="0"/>
          <w:i w:val="0"/>
          <w:color w:val="000000"/>
          <w:sz w:val="20"/>
          <w:u w:val="none"/>
        </w:rPr>
        <w:t xml:space="preserve"> net of discount), and </w:t>
      </w:r>
      <w:r>
        <w:rPr>
          <w:rFonts w:ascii="Times New Roman" w:eastAsia="Times New Roman" w:hAnsi="Times New Roman" w:cs="Times New Roman"/>
          <w:b w:val="0"/>
          <w:i w:val="0"/>
          <w:color w:val="000000"/>
          <w:sz w:val="20"/>
          <w:u w:val="none"/>
        </w:rPr>
        <w:t>525</w:t>
      </w:r>
      <w:r>
        <w:rPr>
          <w:rFonts w:ascii="Times New Roman" w:eastAsia="Times New Roman" w:hAnsi="Times New Roman" w:cs="Times New Roman"/>
          <w:b w:val="0"/>
          <w:i w:val="0"/>
          <w:color w:val="000000"/>
          <w:sz w:val="20"/>
          <w:u w:val="none"/>
        </w:rPr>
        <w:t xml:space="preserve"> shares of Asure common stock, which had a fair value of </w:t>
      </w:r>
      <w:r>
        <w:rPr>
          <w:rFonts w:ascii="Times New Roman" w:eastAsia="Times New Roman" w:hAnsi="Times New Roman" w:cs="Times New Roman"/>
          <w:b w:val="0"/>
          <w:i w:val="0"/>
          <w:color w:val="000000"/>
          <w:sz w:val="20"/>
          <w:u w:val="none"/>
        </w:rPr>
        <w:t>$4,262</w:t>
      </w:r>
      <w:r>
        <w:rPr>
          <w:rFonts w:ascii="Times New Roman" w:eastAsia="Times New Roman" w:hAnsi="Times New Roman" w:cs="Times New Roman"/>
          <w:b w:val="0"/>
          <w:i w:val="0"/>
          <w:color w:val="000000"/>
          <w:sz w:val="20"/>
          <w:u w:val="none"/>
        </w:rPr>
        <w:t xml:space="preserve"> on the day of acquisition.</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The purchase consideration was allocated among the acquired assets, which consist of a customer relationships intangible asset with fair value of </w:t>
      </w:r>
      <w:r>
        <w:rPr>
          <w:rFonts w:ascii="Times New Roman" w:eastAsia="Times New Roman" w:hAnsi="Times New Roman" w:cs="Times New Roman"/>
          <w:b w:val="0"/>
          <w:i w:val="0"/>
          <w:color w:val="000000"/>
          <w:sz w:val="20"/>
          <w:u w:val="none"/>
        </w:rPr>
        <w:t>$2,700</w:t>
      </w:r>
      <w:r>
        <w:rPr>
          <w:rFonts w:ascii="Times New Roman" w:eastAsia="Times New Roman" w:hAnsi="Times New Roman" w:cs="Times New Roman"/>
          <w:b w:val="0"/>
          <w:i w:val="0"/>
          <w:color w:val="000000"/>
          <w:sz w:val="20"/>
          <w:u w:val="none"/>
        </w:rPr>
        <w:t xml:space="preserve">, and a developed technology intangible asset with a fair value of </w:t>
      </w:r>
      <w:r>
        <w:rPr>
          <w:rFonts w:ascii="Times New Roman" w:eastAsia="Times New Roman" w:hAnsi="Times New Roman" w:cs="Times New Roman"/>
          <w:b w:val="0"/>
          <w:i w:val="0"/>
          <w:color w:val="000000"/>
          <w:sz w:val="20"/>
          <w:u w:val="none"/>
        </w:rPr>
        <w:t>$3,200</w:t>
      </w:r>
      <w:r>
        <w:rPr>
          <w:rFonts w:ascii="Times New Roman" w:eastAsia="Times New Roman" w:hAnsi="Times New Roman" w:cs="Times New Roman"/>
          <w:b w:val="0"/>
          <w:i w:val="0"/>
          <w:color w:val="000000"/>
          <w:sz w:val="20"/>
          <w:u w:val="none"/>
        </w:rPr>
        <w:t xml:space="preserve">. Additionally, we assumed </w:t>
      </w:r>
      <w:r>
        <w:rPr>
          <w:rFonts w:ascii="Times New Roman" w:eastAsia="Times New Roman" w:hAnsi="Times New Roman" w:cs="Times New Roman"/>
          <w:b w:val="0"/>
          <w:i w:val="0"/>
          <w:color w:val="000000"/>
          <w:sz w:val="20"/>
          <w:u w:val="none"/>
        </w:rPr>
        <w:t>$237</w:t>
      </w:r>
      <w:r>
        <w:rPr>
          <w:rFonts w:ascii="Times New Roman" w:eastAsia="Times New Roman" w:hAnsi="Times New Roman" w:cs="Times New Roman"/>
          <w:b w:val="0"/>
          <w:i w:val="0"/>
          <w:color w:val="000000"/>
          <w:sz w:val="20"/>
          <w:u w:val="none"/>
        </w:rPr>
        <w:t xml:space="preserve"> of deferred revenue and </w:t>
      </w:r>
      <w:r>
        <w:rPr>
          <w:rFonts w:ascii="Times New Roman" w:eastAsia="Times New Roman" w:hAnsi="Times New Roman" w:cs="Times New Roman"/>
          <w:b w:val="0"/>
          <w:i w:val="0"/>
          <w:color w:val="000000"/>
          <w:sz w:val="20"/>
          <w:u w:val="none"/>
        </w:rPr>
        <w:t>$498</w:t>
      </w:r>
      <w:r>
        <w:rPr>
          <w:rFonts w:ascii="Times New Roman" w:eastAsia="Times New Roman" w:hAnsi="Times New Roman" w:cs="Times New Roman"/>
          <w:b w:val="0"/>
          <w:i w:val="0"/>
          <w:color w:val="000000"/>
          <w:sz w:val="20"/>
          <w:u w:val="none"/>
        </w:rPr>
        <w:t xml:space="preserve"> of other accrued liabilities as part of the transaction. The intangible assets are being amortized on a straight-line basis over eight and five years, respectively.</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The remaining </w:t>
      </w:r>
      <w:r>
        <w:rPr>
          <w:rFonts w:ascii="Times New Roman" w:eastAsia="Times New Roman" w:hAnsi="Times New Roman" w:cs="Times New Roman"/>
          <w:b w:val="0"/>
          <w:i w:val="0"/>
          <w:color w:val="000000"/>
          <w:sz w:val="20"/>
          <w:u w:val="none"/>
        </w:rPr>
        <w:t>$8,713</w:t>
      </w:r>
      <w:r>
        <w:rPr>
          <w:rFonts w:ascii="Times New Roman" w:eastAsia="Times New Roman" w:hAnsi="Times New Roman" w:cs="Times New Roman"/>
          <w:b w:val="0"/>
          <w:i w:val="0"/>
          <w:color w:val="000000"/>
          <w:sz w:val="20"/>
          <w:u w:val="none"/>
        </w:rPr>
        <w:t xml:space="preserve"> of excess purchase consideration was allocated to goodwill, which is generally expected to be deductible for tax purposes. This represents the knowledge and experience of the employees retained as part of the transaction as well as the synergies and economies of scale expected from expanding the Midwest operating region to a national scale.</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val="0"/>
          <w:i/>
          <w:color w:val="000000"/>
          <w:sz w:val="20"/>
          <w:u w:val="none"/>
        </w:rPr>
        <w:t>Asset Acquisitions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val="0"/>
          <w:i w:val="0"/>
          <w:color w:val="000000"/>
          <w:sz w:val="20"/>
          <w:u w:val="none"/>
        </w:rPr>
        <w:t xml:space="preserve">During the year ended December 31, 2024, we completed eleven customer relationship asset acquisitions. The total purchase price of these acquisitions was $15,123, which consisted of $2,436 of cash paid during the year ended December 31, 2025, $5,842 of cash paid during the year ended December 31, 2024, $393 of cash to be paid over the next 12 months, $166 of cash to be paid thereafter, the delivery of promissory notes in the amount of $1,423, net of discounts, and the delivery of 500 shares of Asure common stock, which had an aggregate fair value of $4,863 at the respective acquisition dates. The purchase price for certain acquisitions is subject to adjustments for contingent events to be resolved primarily over the next </w:t>
      </w:r>
      <w:r>
        <w:rPr>
          <w:rFonts w:ascii="Times New Roman" w:eastAsia="Times New Roman" w:hAnsi="Times New Roman" w:cs="Times New Roman"/>
          <w:b w:val="0"/>
          <w:i w:val="0"/>
          <w:color w:val="000000"/>
          <w:sz w:val="20"/>
          <w:u w:val="none"/>
        </w:rPr>
        <w:t>one</w:t>
      </w:r>
      <w:r>
        <w:rPr>
          <w:rFonts w:ascii="Times New Roman" w:eastAsia="Times New Roman" w:hAnsi="Times New Roman" w:cs="Times New Roman"/>
          <w:b w:val="0"/>
          <w:i w:val="0"/>
          <w:color w:val="000000"/>
          <w:sz w:val="20"/>
          <w:u w:val="none"/>
        </w:rPr>
        <w:t xml:space="preserve"> to </w:t>
      </w:r>
      <w:r>
        <w:rPr>
          <w:rFonts w:ascii="Times New Roman" w:eastAsia="Times New Roman" w:hAnsi="Times New Roman" w:cs="Times New Roman"/>
          <w:b w:val="0"/>
          <w:i w:val="0"/>
          <w:color w:val="000000"/>
          <w:sz w:val="20"/>
          <w:u w:val="none"/>
        </w:rPr>
        <w:t>three years</w:t>
      </w:r>
      <w:r>
        <w:rPr>
          <w:rFonts w:ascii="Times New Roman" w:eastAsia="Times New Roman" w:hAnsi="Times New Roman" w:cs="Times New Roman"/>
          <w:b w:val="0"/>
          <w:i w:val="0"/>
          <w:color w:val="000000"/>
          <w:sz w:val="20"/>
          <w:u w:val="none"/>
        </w:rPr>
        <w:t xml:space="preserve">, including revenue generated from the acquired assets. The acquired customer relationships are recorded as intangible assets and are being amortized on a straight-line basis over </w:t>
      </w:r>
      <w:r>
        <w:rPr>
          <w:rFonts w:ascii="Times New Roman" w:eastAsia="Times New Roman" w:hAnsi="Times New Roman" w:cs="Times New Roman"/>
          <w:b w:val="0"/>
          <w:i w:val="0"/>
          <w:color w:val="000000"/>
          <w:sz w:val="20"/>
          <w:u w:val="none"/>
        </w:rPr>
        <w:t>eight years</w:t>
      </w:r>
      <w:r>
        <w:rPr>
          <w:rFonts w:ascii="Times New Roman" w:eastAsia="Times New Roman" w:hAnsi="Times New Roman" w:cs="Times New Roman"/>
          <w:b w:val="0"/>
          <w:i w:val="0"/>
          <w:color w:val="000000"/>
          <w:sz w:val="20"/>
          <w:u w:val="none"/>
        </w:rPr>
        <w:t>.</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29" w:name="Section30"/>
      <w:bookmarkEnd w:id="29"/>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keepLines/>
        <w:pageBreakBefore/>
        <w:widowControl w:val="0"/>
        <w:numPr>
          <w:ilvl w:val="0"/>
          <w:numId w:val="0"/>
        </w:numPr>
        <w:spacing w:before="0" w:after="0" w:line="288" w:lineRule="auto"/>
        <w:ind w:left="0" w:right="0" w:firstLine="0"/>
        <w:jc w:val="left"/>
        <w:outlineLvl w:val="3"/>
        <w:rPr>
          <w:rFonts w:ascii="Times New Roman" w:eastAsia="Times New Roman" w:hAnsi="Times New Roman" w:cs="Times New Roman"/>
          <w:b w:val="0"/>
          <w:i w:val="0"/>
          <w:sz w:val="20"/>
        </w:rPr>
      </w:pPr>
      <w:r>
        <w:rPr>
          <w:rFonts w:ascii="Times New Roman" w:eastAsia="Times New Roman" w:hAnsi="Times New Roman" w:cs="Times New Roman"/>
          <w:b/>
          <w:i w:val="0"/>
          <w:sz w:val="20"/>
        </w:rPr>
        <w:t xml:space="preserve">NOTE 3 - </w:t>
      </w:r>
      <w:r>
        <w:rPr>
          <w:rFonts w:ascii="Times New Roman" w:eastAsia="Times New Roman" w:hAnsi="Times New Roman" w:cs="Times New Roman"/>
          <w:b/>
          <w:i w:val="0"/>
          <w:color w:val="000000"/>
          <w:sz w:val="20"/>
          <w:u w:val="none"/>
        </w:rPr>
        <w:t>INVESTMENTS AND FAIR VALUE MEASUREMENTS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ASC 820 “Fair Value Measurement” (ASC 820) defines fair value, establishes a framework for measuring fair value under U.S. GAAP and enhances disclosures about fair value measurements. Fair value is defined as the exchange price that would be received for an asset or paid to transfer a liability (an exit price) in the principal or most advantageous market for the asset or liability in an orderly transaction between market participants on the measurement date. Valuation techniques used to measure fair value must maximize the use of observable inputs and minimize the use of unobservable inputs. ASC 820 describes a fair value hierarchy based on the following three levels of inputs that may be used to measure fair value, of which the first two are considered observable and the last unobservable:</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tbl>
      <w:tblPr>
        <w:tblW w:w="95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80"/>
        <w:gridCol w:w="195"/>
        <w:gridCol w:w="8595"/>
      </w:tblGrid>
      <w:tr>
        <w:tblPrEx>
          <w:tblW w:w="9570" w:type="dxa"/>
          <w:tblInd w:w="720" w:type="dxa"/>
          <w:tblLayout w:type="fixed"/>
        </w:tblPrEx>
        <w:trPr>
          <w:cantSplit/>
          <w:trHeight w:hRule="exact" w:val="315"/>
        </w:trPr>
        <w:tc>
          <w:tcPr>
            <w:tcW w:w="78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Level 1:</w:t>
            </w:r>
          </w:p>
        </w:tc>
        <w:tc>
          <w:tcPr>
            <w:tcW w:w="1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5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Quoted prices in active markets for </w:t>
            </w:r>
            <w:r>
              <w:rPr>
                <w:rFonts w:ascii="Times New Roman" w:eastAsia="Times New Roman" w:hAnsi="Times New Roman" w:cs="Times New Roman"/>
                <w:b w:val="0"/>
                <w:i/>
                <w:sz w:val="20"/>
              </w:rPr>
              <w:t>identical</w:t>
            </w:r>
            <w:r>
              <w:rPr>
                <w:rFonts w:ascii="Times New Roman" w:eastAsia="Times New Roman" w:hAnsi="Times New Roman" w:cs="Times New Roman"/>
                <w:b w:val="0"/>
                <w:i w:val="0"/>
                <w:sz w:val="20"/>
              </w:rPr>
              <w:t xml:space="preserve"> assets or liabilities;</w:t>
            </w:r>
          </w:p>
        </w:tc>
      </w:tr>
      <w:tr>
        <w:tblPrEx>
          <w:tblW w:w="9570" w:type="dxa"/>
          <w:tblInd w:w="720" w:type="dxa"/>
          <w:tblLayout w:type="fixed"/>
        </w:tblPrEx>
        <w:trPr>
          <w:cantSplit/>
          <w:trHeight w:hRule="exact" w:val="315"/>
        </w:trPr>
        <w:tc>
          <w:tcPr>
            <w:tcW w:w="78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5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9570" w:type="dxa"/>
          <w:tblInd w:w="720" w:type="dxa"/>
          <w:tblLayout w:type="fixed"/>
        </w:tblPrEx>
        <w:trPr>
          <w:cantSplit/>
          <w:trHeight w:hRule="exact" w:val="675"/>
        </w:trPr>
        <w:tc>
          <w:tcPr>
            <w:tcW w:w="78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Level 2:</w:t>
            </w:r>
          </w:p>
        </w:tc>
        <w:tc>
          <w:tcPr>
            <w:tcW w:w="1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5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Quoted prices in active markets for </w:t>
            </w:r>
            <w:r>
              <w:rPr>
                <w:rFonts w:ascii="Times New Roman" w:eastAsia="Times New Roman" w:hAnsi="Times New Roman" w:cs="Times New Roman"/>
                <w:b w:val="0"/>
                <w:i/>
                <w:sz w:val="20"/>
              </w:rPr>
              <w:t>similar</w:t>
            </w:r>
            <w:r>
              <w:rPr>
                <w:rFonts w:ascii="Times New Roman" w:eastAsia="Times New Roman" w:hAnsi="Times New Roman" w:cs="Times New Roman"/>
                <w:b w:val="0"/>
                <w:i w:val="0"/>
                <w:sz w:val="20"/>
              </w:rPr>
              <w:t xml:space="preserve"> assets or liabilities; quoted prices in markets that are not active for identical or similar assets or liabilities; and model-driven valuations whose significant inputs are observable; and</w:t>
            </w:r>
          </w:p>
        </w:tc>
      </w:tr>
      <w:tr>
        <w:tblPrEx>
          <w:tblW w:w="9570" w:type="dxa"/>
          <w:tblInd w:w="720" w:type="dxa"/>
          <w:tblLayout w:type="fixed"/>
        </w:tblPrEx>
        <w:trPr>
          <w:cantSplit/>
          <w:trHeight w:hRule="exact" w:val="315"/>
        </w:trPr>
        <w:tc>
          <w:tcPr>
            <w:tcW w:w="78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5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9570" w:type="dxa"/>
          <w:tblInd w:w="720" w:type="dxa"/>
          <w:tblLayout w:type="fixed"/>
        </w:tblPrEx>
        <w:trPr>
          <w:cantSplit/>
          <w:trHeight w:hRule="exact" w:val="465"/>
        </w:trPr>
        <w:tc>
          <w:tcPr>
            <w:tcW w:w="78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Level 3:</w:t>
            </w: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59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both"/>
            </w:pPr>
            <w:r>
              <w:rPr>
                <w:rFonts w:ascii="Times New Roman" w:eastAsia="Times New Roman" w:hAnsi="Times New Roman" w:cs="Times New Roman"/>
                <w:b w:val="0"/>
                <w:i w:val="0"/>
                <w:color w:val="000000"/>
                <w:sz w:val="20"/>
                <w:u w:val="none"/>
              </w:rPr>
              <w:t>Unobservable inputs that are supported by little or no market activity and that are significant to the fair value of the assets or liabilities.</w:t>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presents the fair value hierarchy for our financial assets and liabilities measured at fair value on a recurring basis as of December 31, 2025, and December 31, 2024, respectively (in thousands):</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095"/>
        <w:gridCol w:w="1485"/>
        <w:gridCol w:w="75"/>
        <w:gridCol w:w="1485"/>
        <w:gridCol w:w="75"/>
        <w:gridCol w:w="1485"/>
        <w:gridCol w:w="75"/>
        <w:gridCol w:w="1485"/>
      </w:tblGrid>
      <w:tr>
        <w:tblPrEx>
          <w:tblW w:w="10260" w:type="dxa"/>
          <w:tblInd w:w="0" w:type="dxa"/>
          <w:tblLayout w:type="fixed"/>
        </w:tblPrEx>
        <w:trPr>
          <w:cantSplit/>
          <w:trHeight w:hRule="exact" w:val="465"/>
        </w:trPr>
        <w:tc>
          <w:tcPr>
            <w:tcW w:w="40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Total Carrying Value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Level 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Level 2</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Level 3</w:t>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i w:val="0"/>
                <w:color w:val="000000"/>
                <w:sz w:val="20"/>
                <w:u w:val="none"/>
              </w:rPr>
              <w:t>December 31, 2025</w:t>
            </w: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Assets:</w:t>
            </w: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 </w:t>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Funds held for clients</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Money market funds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1,784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1,784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Available-for-sale securities</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88,652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88,652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90,436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1,784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88,652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w:t>
              <w:tab/>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December 31, 2024</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Assets:</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Funds held for clients</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Money market funds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8,105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8,105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Available-for-sale securities</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68,328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68,328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76,433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8,105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68,328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1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w:t>
              <w:tab/>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Restricted cash equivalents and investments classified as available-for-sale within funds held for clients consisted of the following (in thousands):</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095"/>
        <w:gridCol w:w="1485"/>
        <w:gridCol w:w="75"/>
        <w:gridCol w:w="1485"/>
        <w:gridCol w:w="75"/>
        <w:gridCol w:w="1485"/>
        <w:gridCol w:w="75"/>
        <w:gridCol w:w="1485"/>
      </w:tblGrid>
      <w:tr>
        <w:tblPrEx>
          <w:tblW w:w="10260" w:type="dxa"/>
          <w:tblInd w:w="0" w:type="dxa"/>
          <w:tblLayout w:type="fixed"/>
        </w:tblPrEx>
        <w:trPr>
          <w:cantSplit/>
          <w:trHeight w:hRule="exact" w:val="705"/>
        </w:trPr>
        <w:tc>
          <w:tcPr>
            <w:tcW w:w="40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40" w:lineRule="auto"/>
              <w:jc w:val="center"/>
            </w:pPr>
            <w:r>
              <w:rPr>
                <w:rFonts w:ascii="Times New Roman" w:eastAsia="Times New Roman" w:hAnsi="Times New Roman" w:cs="Times New Roman"/>
                <w:b/>
                <w:i w:val="0"/>
                <w:color w:val="000000"/>
                <w:sz w:val="20"/>
                <w:u w:val="none"/>
              </w:rPr>
              <w:t>Amortized</w:t>
            </w:r>
          </w:p>
          <w:p>
            <w:pPr>
              <w:spacing w:after="30" w:line="240" w:lineRule="auto"/>
              <w:jc w:val="center"/>
            </w:pPr>
            <w:r>
              <w:rPr>
                <w:rFonts w:ascii="Times New Roman" w:eastAsia="Times New Roman" w:hAnsi="Times New Roman" w:cs="Times New Roman"/>
                <w:b/>
                <w:i w:val="0"/>
                <w:color w:val="000000"/>
                <w:sz w:val="20"/>
                <w:u w:val="none"/>
              </w:rPr>
              <w:t>Cost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numPr>
                <w:ilvl w:val="0"/>
                <w:numId w:val="0"/>
              </w:numPr>
              <w:spacing w:before="53" w:after="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Gross</w:t>
            </w:r>
          </w:p>
          <w:p>
            <w:pPr>
              <w:pageBreakBefore w:val="0"/>
              <w:numPr>
                <w:ilvl w:val="0"/>
                <w:numId w:val="0"/>
              </w:numPr>
              <w:spacing w:before="0" w:after="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Unrealized</w:t>
            </w:r>
          </w:p>
          <w:p>
            <w:pPr>
              <w:pageBreakBefore w:val="0"/>
              <w:numPr>
                <w:ilvl w:val="0"/>
                <w:numId w:val="0"/>
              </w:numPr>
              <w:spacing w:before="0" w:after="3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Gains </w:t>
            </w:r>
            <w:r>
              <w:rPr>
                <w:rFonts w:ascii="Times New Roman" w:eastAsia="Times New Roman" w:hAnsi="Times New Roman" w:cs="Times New Roman"/>
                <w:b/>
                <w:i w:val="0"/>
                <w:sz w:val="20"/>
                <w:vertAlign w:val="superscript"/>
              </w:rPr>
              <w:t>(1)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numPr>
                <w:ilvl w:val="0"/>
                <w:numId w:val="0"/>
              </w:numPr>
              <w:spacing w:before="53" w:after="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Gross</w:t>
            </w:r>
          </w:p>
          <w:p>
            <w:pPr>
              <w:pageBreakBefore w:val="0"/>
              <w:numPr>
                <w:ilvl w:val="0"/>
                <w:numId w:val="0"/>
              </w:numPr>
              <w:spacing w:before="0" w:after="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Unrealized</w:t>
            </w:r>
          </w:p>
          <w:p>
            <w:pPr>
              <w:pageBreakBefore w:val="0"/>
              <w:numPr>
                <w:ilvl w:val="0"/>
                <w:numId w:val="0"/>
              </w:numPr>
              <w:spacing w:before="0" w:after="3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Losses </w:t>
            </w:r>
            <w:r>
              <w:rPr>
                <w:rFonts w:ascii="Times New Roman" w:eastAsia="Times New Roman" w:hAnsi="Times New Roman" w:cs="Times New Roman"/>
                <w:b/>
                <w:i w:val="0"/>
                <w:sz w:val="20"/>
                <w:vertAlign w:val="superscript"/>
              </w:rPr>
              <w:t>(1)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40" w:lineRule="auto"/>
              <w:jc w:val="center"/>
            </w:pPr>
            <w:r>
              <w:rPr>
                <w:rFonts w:ascii="Times New Roman" w:eastAsia="Times New Roman" w:hAnsi="Times New Roman" w:cs="Times New Roman"/>
                <w:b/>
                <w:i w:val="0"/>
                <w:color w:val="000000"/>
                <w:sz w:val="20"/>
                <w:u w:val="none"/>
              </w:rPr>
              <w:t>Aggregate</w:t>
            </w:r>
          </w:p>
          <w:p>
            <w:pPr>
              <w:spacing w:line="240" w:lineRule="auto"/>
              <w:jc w:val="center"/>
            </w:pPr>
            <w:r>
              <w:rPr>
                <w:rFonts w:ascii="Times New Roman" w:eastAsia="Times New Roman" w:hAnsi="Times New Roman" w:cs="Times New Roman"/>
                <w:b/>
                <w:i w:val="0"/>
                <w:color w:val="000000"/>
                <w:sz w:val="20"/>
                <w:u w:val="none"/>
              </w:rPr>
              <w:t>Estimated</w:t>
            </w:r>
          </w:p>
          <w:p>
            <w:pPr>
              <w:spacing w:after="30" w:line="240" w:lineRule="auto"/>
              <w:jc w:val="center"/>
            </w:pPr>
            <w:r>
              <w:rPr>
                <w:rFonts w:ascii="Times New Roman" w:eastAsia="Times New Roman" w:hAnsi="Times New Roman" w:cs="Times New Roman"/>
                <w:b/>
                <w:i w:val="0"/>
                <w:color w:val="000000"/>
                <w:sz w:val="20"/>
                <w:u w:val="none"/>
              </w:rPr>
              <w:t>Fair Value</w:t>
            </w:r>
          </w:p>
        </w:tc>
      </w:tr>
      <w:tr>
        <w:tblPrEx>
          <w:tblW w:w="10260" w:type="dxa"/>
          <w:tblInd w:w="0" w:type="dxa"/>
          <w:tblLayout w:type="fixed"/>
        </w:tblPrEx>
        <w:trPr>
          <w:cantSplit/>
          <w:trHeight w:hRule="exact" w:val="300"/>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i w:val="0"/>
                <w:color w:val="000000"/>
                <w:sz w:val="20"/>
                <w:u w:val="none"/>
              </w:rPr>
              <w:t>December 31, 2025</w:t>
            </w: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Restricted cash equivalents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1,787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66"/>
              </w:tabs>
              <w:spacing w:before="53" w:after="30" w:line="240" w:lineRule="auto"/>
              <w:jc w:val="right"/>
            </w:pPr>
            <w:r>
              <w:rPr>
                <w:rFonts w:ascii="Times New Roman" w:eastAsia="Times New Roman" w:hAnsi="Times New Roman" w:cs="Times New Roman"/>
                <w:b w:val="0"/>
                <w:i w:val="0"/>
                <w:color w:val="000000"/>
                <w:sz w:val="20"/>
                <w:u w:val="none"/>
              </w:rPr>
              <w:t>$</w:t>
              <w:tab/>
              <w:t>(3)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1,784</w:t>
              <w:tab/>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Available-for-sale securities:</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Corporate debt securities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83,160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501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66"/>
              </w:tabs>
              <w:spacing w:before="53" w:after="30" w:line="240" w:lineRule="auto"/>
              <w:jc w:val="right"/>
            </w:pPr>
            <w:r>
              <w:rPr>
                <w:rFonts w:ascii="Times New Roman" w:eastAsia="Times New Roman" w:hAnsi="Times New Roman" w:cs="Times New Roman"/>
                <w:b w:val="0"/>
                <w:i w:val="0"/>
                <w:color w:val="000000"/>
                <w:sz w:val="20"/>
                <w:u w:val="none"/>
              </w:rPr>
              <w:tab/>
              <w:t>(77)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83,584</w:t>
              <w:tab/>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Municipal bonds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1,542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6"/>
              </w:tabs>
              <w:spacing w:before="53" w:after="30" w:line="240" w:lineRule="auto"/>
              <w:jc w:val="right"/>
            </w:pPr>
            <w:r>
              <w:rPr>
                <w:rFonts w:ascii="Times New Roman" w:eastAsia="Times New Roman" w:hAnsi="Times New Roman" w:cs="Times New Roman"/>
                <w:b w:val="0"/>
                <w:i w:val="0"/>
                <w:color w:val="000000"/>
                <w:sz w:val="20"/>
                <w:u w:val="none"/>
              </w:rPr>
              <w:tab/>
              <w:t>(17)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1,525</w:t>
              <w:tab/>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U.S. Government agency securities</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3,515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28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3,543</w:t>
              <w:tab/>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available-for-sale securities</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88,217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ab/>
              <w:t>529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6"/>
              </w:tabs>
              <w:spacing w:before="33" w:after="30" w:line="240" w:lineRule="auto"/>
              <w:jc w:val="right"/>
            </w:pPr>
            <w:r>
              <w:rPr>
                <w:rFonts w:ascii="Times New Roman" w:eastAsia="Times New Roman" w:hAnsi="Times New Roman" w:cs="Times New Roman"/>
                <w:b w:val="0"/>
                <w:i w:val="0"/>
                <w:color w:val="000000"/>
                <w:sz w:val="20"/>
                <w:u w:val="none"/>
              </w:rPr>
              <w:tab/>
              <w:t>(94)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88,652</w:t>
              <w:tab/>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Total</w:t>
            </w:r>
            <w:r>
              <w:rPr>
                <w:rFonts w:ascii="Times New Roman" w:eastAsia="Times New Roman" w:hAnsi="Times New Roman" w:cs="Times New Roman"/>
                <w:b w:val="0"/>
                <w:i w:val="0"/>
                <w:sz w:val="20"/>
                <w:vertAlign w:val="superscript"/>
              </w:rPr>
              <w:t>(2)</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90,004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529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066"/>
              </w:tabs>
              <w:spacing w:before="33" w:after="30" w:line="240" w:lineRule="auto"/>
              <w:jc w:val="right"/>
            </w:pPr>
            <w:r>
              <w:rPr>
                <w:rFonts w:ascii="Times New Roman" w:eastAsia="Times New Roman" w:hAnsi="Times New Roman" w:cs="Times New Roman"/>
                <w:b w:val="0"/>
                <w:i w:val="0"/>
                <w:color w:val="000000"/>
                <w:sz w:val="20"/>
                <w:u w:val="none"/>
              </w:rPr>
              <w:t>$</w:t>
              <w:tab/>
              <w:t>(97)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90,436</w:t>
              <w:tab/>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December 31, 2024</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Restricted cash equivalents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8,115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66"/>
              </w:tabs>
              <w:spacing w:before="53" w:after="30" w:line="240" w:lineRule="auto"/>
              <w:jc w:val="right"/>
            </w:pPr>
            <w:r>
              <w:rPr>
                <w:rFonts w:ascii="Times New Roman" w:eastAsia="Times New Roman" w:hAnsi="Times New Roman" w:cs="Times New Roman"/>
                <w:b w:val="0"/>
                <w:i w:val="0"/>
                <w:color w:val="000000"/>
                <w:sz w:val="20"/>
                <w:u w:val="none"/>
              </w:rPr>
              <w:t>$</w:t>
              <w:tab/>
              <w:t>(10)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8,105</w:t>
              <w:tab/>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Available-for-sale securities:</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Corporate debt securities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63,253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164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(619)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62,798</w:t>
              <w:tab/>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Municipal bonds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3,194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(104)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3,090</w:t>
              <w:tab/>
            </w:r>
          </w:p>
        </w:tc>
      </w:tr>
      <w:tr>
        <w:tblPrEx>
          <w:tblW w:w="10260" w:type="dxa"/>
          <w:tblInd w:w="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U.S. Government agency securities</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2,449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52"/>
                <w:tab w:val="left" w:pos="1417"/>
              </w:tabs>
              <w:spacing w:before="53" w:after="30" w:line="240" w:lineRule="auto"/>
              <w:jc w:val="right"/>
            </w:pPr>
            <w:r>
              <w:rPr>
                <w:rFonts w:ascii="Times New Roman" w:eastAsia="Times New Roman" w:hAnsi="Times New Roman" w:cs="Times New Roman"/>
                <w:b w:val="0"/>
                <w:i w:val="0"/>
                <w:color w:val="000000"/>
                <w:sz w:val="20"/>
                <w:u w:val="none"/>
              </w:rPr>
              <w:tab/>
              <w:t>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66"/>
              </w:tabs>
              <w:spacing w:before="53" w:after="30" w:line="240" w:lineRule="auto"/>
              <w:jc w:val="right"/>
            </w:pPr>
            <w:r>
              <w:rPr>
                <w:rFonts w:ascii="Times New Roman" w:eastAsia="Times New Roman" w:hAnsi="Times New Roman" w:cs="Times New Roman"/>
                <w:b w:val="0"/>
                <w:i w:val="0"/>
                <w:color w:val="000000"/>
                <w:sz w:val="20"/>
                <w:u w:val="none"/>
              </w:rPr>
              <w:tab/>
              <w:t>(15)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2,440</w:t>
              <w:tab/>
            </w:r>
          </w:p>
        </w:tc>
      </w:tr>
      <w:tr>
        <w:tblPrEx>
          <w:tblW w:w="10260" w:type="dxa"/>
          <w:tblInd w:w="0" w:type="dxa"/>
          <w:tblLayout w:type="fixed"/>
        </w:tblPrEx>
        <w:trPr>
          <w:cantSplit/>
          <w:trHeight w:hRule="exact" w:val="31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available-for-sale securities</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68,896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ab/>
              <w:t>170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6"/>
              </w:tabs>
              <w:spacing w:before="33" w:after="30" w:line="240" w:lineRule="auto"/>
              <w:jc w:val="right"/>
            </w:pPr>
            <w:r>
              <w:rPr>
                <w:rFonts w:ascii="Times New Roman" w:eastAsia="Times New Roman" w:hAnsi="Times New Roman" w:cs="Times New Roman"/>
                <w:b w:val="0"/>
                <w:i w:val="0"/>
                <w:color w:val="000000"/>
                <w:sz w:val="20"/>
                <w:u w:val="none"/>
              </w:rPr>
              <w:tab/>
              <w:t>(738)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68,328</w:t>
              <w:tab/>
            </w:r>
          </w:p>
        </w:tc>
      </w:tr>
      <w:tr>
        <w:tblPrEx>
          <w:tblW w:w="10260" w:type="dxa"/>
          <w:tblInd w:w="0" w:type="dxa"/>
          <w:tblLayout w:type="fixed"/>
        </w:tblPrEx>
        <w:trPr>
          <w:cantSplit/>
          <w:trHeight w:hRule="exact" w:val="315"/>
        </w:trPr>
        <w:tc>
          <w:tcPr>
            <w:tcW w:w="40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Total</w:t>
            </w:r>
            <w:r>
              <w:rPr>
                <w:rFonts w:ascii="Times New Roman" w:eastAsia="Times New Roman" w:hAnsi="Times New Roman" w:cs="Times New Roman"/>
                <w:b w:val="0"/>
                <w:i w:val="0"/>
                <w:sz w:val="20"/>
                <w:vertAlign w:val="superscript"/>
              </w:rPr>
              <w:t>(2)</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77,011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170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66"/>
              </w:tabs>
              <w:spacing w:before="33" w:after="30" w:line="240" w:lineRule="auto"/>
              <w:jc w:val="right"/>
            </w:pPr>
            <w:r>
              <w:rPr>
                <w:rFonts w:ascii="Times New Roman" w:eastAsia="Times New Roman" w:hAnsi="Times New Roman" w:cs="Times New Roman"/>
                <w:b w:val="0"/>
                <w:i w:val="0"/>
                <w:color w:val="000000"/>
                <w:sz w:val="20"/>
                <w:u w:val="none"/>
              </w:rPr>
              <w:t>$</w:t>
              <w:tab/>
              <w:t>(748)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76,433</w:t>
              <w:tab/>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18"/>
        </w:numPr>
        <w:spacing w:before="0" w:after="0" w:line="288" w:lineRule="auto"/>
        <w:ind w:left="720" w:right="0" w:hanging="720"/>
        <w:jc w:val="both"/>
        <w:outlineLvl w:val="9"/>
        <w:rPr>
          <w:rFonts w:ascii="Times New Roman" w:eastAsia="Times New Roman" w:hAnsi="Times New Roman" w:cs="Times New Roman"/>
          <w:b w:val="0"/>
          <w:i w:val="0"/>
          <w:color w:val="000000"/>
          <w:sz w:val="18"/>
          <w:u w:val="none"/>
        </w:rPr>
      </w:pPr>
      <w:r>
        <w:rPr>
          <w:rFonts w:ascii="Times New Roman" w:eastAsia="Times New Roman" w:hAnsi="Times New Roman" w:cs="Times New Roman"/>
          <w:b w:val="0"/>
          <w:i w:val="0"/>
          <w:color w:val="000000"/>
          <w:sz w:val="18"/>
          <w:u w:val="none"/>
        </w:rPr>
        <w:t xml:space="preserve">Unrealized gains and losses on available-for-sale securities are included as a component of comprehensive loss. As of December 31, 2025, and December 31, 2024, there were 127 and 45 securities, respectively, in an unrealized gain position and there were 27 and 89 securities in an unrealized loss position, respectively. As of December 31, 2025, these unrealized losses were less than $13 individually and $94 in the aggregate. As of December 31, 2024, these unrealized losses were less than $38 individually and $738 in the aggregate. We invest in high quality securities with roughly </w:t>
      </w:r>
      <w:r>
        <w:rPr>
          <w:rFonts w:ascii="Times New Roman" w:eastAsia="Times New Roman" w:hAnsi="Times New Roman" w:cs="Times New Roman"/>
          <w:b w:val="0"/>
          <w:i w:val="0"/>
          <w:color w:val="000000"/>
          <w:sz w:val="20"/>
          <w:u w:val="none"/>
        </w:rPr>
        <w:t>71%</w:t>
      </w:r>
      <w:r>
        <w:rPr>
          <w:rFonts w:ascii="Times New Roman" w:eastAsia="Times New Roman" w:hAnsi="Times New Roman" w:cs="Times New Roman"/>
          <w:b w:val="0"/>
          <w:i w:val="0"/>
          <w:color w:val="000000"/>
          <w:sz w:val="18"/>
          <w:u w:val="none"/>
        </w:rPr>
        <w:t xml:space="preserve"> of our portfolio made up of A ratings and above with unrealized losses primarily attributable to macroeconomic factors rather than credit related. We have no material individual securities that have been in a continuous unrealized loss position greater than twelve months. We do not intend to sell these investments, and we do not expect to sell these investments before recovery of their amortized cost basis, which may be at maturity. We review our investments to identify and evaluate investments that indicate possible credit losses. Factors considered in determining whether a loss is a credit loss include the length of time and extent to which fair value has been less than the cost basis, the financial condition and near-term prospects of the investee, and our intent and ability to hold the investment for a period of time sufficient to allow for any anticipated recovery in market value.</w:t>
      </w:r>
    </w:p>
    <w:p>
      <w:pPr>
        <w:keepNext w:val="0"/>
        <w:keepLines/>
        <w:pageBreakBefore w:val="0"/>
        <w:widowControl w:val="0"/>
        <w:numPr>
          <w:ilvl w:val="0"/>
          <w:numId w:val="0"/>
        </w:numPr>
        <w:spacing w:before="0" w:after="0" w:line="288" w:lineRule="auto"/>
        <w:ind w:left="-180" w:right="0" w:hanging="180"/>
        <w:jc w:val="both"/>
        <w:outlineLvl w:val="9"/>
        <w:rPr>
          <w:rFonts w:ascii="Times New Roman" w:eastAsia="Times New Roman" w:hAnsi="Times New Roman" w:cs="Times New Roman"/>
          <w:b w:val="0"/>
          <w:i w:val="0"/>
          <w:color w:val="000000"/>
          <w:sz w:val="18"/>
          <w:u w:val="none"/>
        </w:rPr>
      </w:pPr>
    </w:p>
    <w:p>
      <w:pPr>
        <w:keepNext w:val="0"/>
        <w:keepLines/>
        <w:pageBreakBefore w:val="0"/>
        <w:widowControl w:val="0"/>
        <w:numPr>
          <w:ilvl w:val="0"/>
          <w:numId w:val="18"/>
        </w:numPr>
        <w:spacing w:before="0" w:after="0" w:line="288" w:lineRule="auto"/>
        <w:ind w:left="720" w:right="0" w:hanging="720"/>
        <w:jc w:val="both"/>
        <w:outlineLvl w:val="9"/>
        <w:rPr>
          <w:rFonts w:ascii="Times New Roman" w:eastAsia="Times New Roman" w:hAnsi="Times New Roman" w:cs="Times New Roman"/>
          <w:b w:val="0"/>
          <w:i w:val="0"/>
          <w:color w:val="000000"/>
          <w:sz w:val="18"/>
          <w:u w:val="none"/>
        </w:rPr>
      </w:pPr>
      <w:r>
        <w:rPr>
          <w:rFonts w:ascii="Times New Roman" w:eastAsia="Times New Roman" w:hAnsi="Times New Roman" w:cs="Times New Roman"/>
          <w:b w:val="0"/>
          <w:i w:val="0"/>
          <w:color w:val="000000"/>
          <w:sz w:val="18"/>
          <w:u w:val="none"/>
        </w:rPr>
        <w:t>At December 31, 2025, and December 31, 2024, none of these securities were classified as cash and cash equivalents on the accompanying Consolidated Balance Sheets.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18"/>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Funds held for clients represent assets that we have classified as restricted for use solely for the purposes of satisfying the obligations to remit funds relating to our payroll and payroll tax filing services, which are classified as client funds obligations on our Consolidated Balance Sheets.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Funds held for clients have been invested in the following categories (in thousands):</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215"/>
        <w:gridCol w:w="1485"/>
        <w:gridCol w:w="75"/>
        <w:gridCol w:w="1485"/>
      </w:tblGrid>
      <w:tr>
        <w:tblPrEx>
          <w:tblW w:w="10260" w:type="dxa"/>
          <w:tblInd w:w="0" w:type="dxa"/>
          <w:tblLayout w:type="fixed"/>
        </w:tblPrEx>
        <w:trPr>
          <w:cantSplit/>
          <w:trHeight w:hRule="exact" w:val="465"/>
        </w:trPr>
        <w:tc>
          <w:tcPr>
            <w:tcW w:w="721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2025</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2024</w:t>
            </w:r>
          </w:p>
        </w:tc>
      </w:tr>
      <w:tr>
        <w:tblPrEx>
          <w:tblW w:w="10260" w:type="dxa"/>
          <w:tblInd w:w="0" w:type="dxa"/>
          <w:tblLayout w:type="fixed"/>
        </w:tblPrEx>
        <w:trPr>
          <w:cantSplit/>
          <w:trHeight w:hRule="exact" w:val="315"/>
        </w:trPr>
        <w:tc>
          <w:tcPr>
            <w:tcW w:w="72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Restricted cash and cash equivalents held to satisfy client funds obligations</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139,459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124,287</w:t>
              <w:tab/>
            </w:r>
          </w:p>
        </w:tc>
      </w:tr>
      <w:tr>
        <w:tblPrEx>
          <w:tblW w:w="10260" w:type="dxa"/>
          <w:tblInd w:w="0" w:type="dxa"/>
          <w:tblLayout w:type="fixed"/>
        </w:tblPrEx>
        <w:trPr>
          <w:cantSplit/>
          <w:trHeight w:hRule="exact" w:val="315"/>
        </w:trPr>
        <w:tc>
          <w:tcPr>
            <w:tcW w:w="72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Restricted short-term marketable securities held to satisfy client funds obligations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12,781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5,273</w:t>
              <w:tab/>
            </w:r>
          </w:p>
        </w:tc>
      </w:tr>
      <w:tr>
        <w:tblPrEx>
          <w:tblW w:w="10260" w:type="dxa"/>
          <w:tblInd w:w="0" w:type="dxa"/>
          <w:tblLayout w:type="fixed"/>
        </w:tblPrEx>
        <w:trPr>
          <w:cantSplit/>
          <w:trHeight w:hRule="exact" w:val="315"/>
        </w:trPr>
        <w:tc>
          <w:tcPr>
            <w:tcW w:w="72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Restricted long-term marketable securities held to satisfy client funds obligations</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75,871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63,055</w:t>
              <w:tab/>
            </w:r>
          </w:p>
        </w:tc>
      </w:tr>
      <w:tr>
        <w:tblPrEx>
          <w:tblW w:w="10260" w:type="dxa"/>
          <w:tblInd w:w="0" w:type="dxa"/>
          <w:tblLayout w:type="fixed"/>
        </w:tblPrEx>
        <w:trPr>
          <w:cantSplit/>
          <w:trHeight w:hRule="exact" w:val="315"/>
        </w:trPr>
        <w:tc>
          <w:tcPr>
            <w:tcW w:w="721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 funds held for clients</w:t>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228,111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192,615</w:t>
              <w:tab/>
            </w:r>
          </w:p>
        </w:tc>
      </w:tr>
    </w:tbl>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Expected maturities of available-for-sale securities as of December 31, 2025, are as follows (in thousands):</w:t>
      </w:r>
    </w:p>
    <w:tbl>
      <w:tblPr>
        <w:tblW w:w="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485"/>
      </w:tblGrid>
      <w:tr>
        <w:tblPrEx>
          <w:tblW w:w="627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One year or less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12,781</w:t>
              <w:tab/>
            </w:r>
          </w:p>
        </w:tc>
      </w:tr>
      <w:tr>
        <w:tblPrEx>
          <w:tblW w:w="6270" w:type="dxa"/>
          <w:tblLayout w:type="fixed"/>
        </w:tblPrEx>
        <w:trPr>
          <w:cantSplit/>
          <w:trHeight w:hRule="exact" w:val="285"/>
        </w:trPr>
        <w:tc>
          <w:tcPr>
            <w:tcW w:w="47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After one year through five years</w:t>
            </w:r>
          </w:p>
        </w:tc>
        <w:tc>
          <w:tcPr>
            <w:tcW w:w="1485"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75,871</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88,652</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
          <w:u w:val="none"/>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
          <w:u w:val="none"/>
        </w:rPr>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30" w:name="Section31"/>
      <w:bookmarkEnd w:id="30"/>
    </w:p>
    <w:p>
      <w:pPr>
        <w:keepNext/>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NOTE 4 - </w:t>
      </w:r>
      <w:r>
        <w:rPr>
          <w:rFonts w:ascii="Times New Roman" w:eastAsia="Times New Roman" w:hAnsi="Times New Roman" w:cs="Times New Roman"/>
          <w:b/>
          <w:i w:val="0"/>
          <w:color w:val="000000"/>
          <w:sz w:val="20"/>
          <w:u w:val="none"/>
        </w:rPr>
        <w:t>PROPERTY AND EQUIPMENT</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Property and equipment as of December 31, 2025 and 2024, consisted of the following (in thousands):</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215"/>
        <w:gridCol w:w="105"/>
        <w:gridCol w:w="1485"/>
        <w:gridCol w:w="75"/>
        <w:gridCol w:w="1485"/>
      </w:tblGrid>
      <w:tr>
        <w:tblPrEx>
          <w:tblW w:w="9150" w:type="dxa"/>
          <w:tblLayout w:type="fixed"/>
        </w:tblPrEx>
        <w:trPr>
          <w:cantSplit/>
          <w:trHeight w:hRule="exact" w:val="765"/>
        </w:trPr>
        <w:tc>
          <w:tcPr>
            <w:tcW w:w="47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1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numPr>
                <w:ilvl w:val="0"/>
                <w:numId w:val="0"/>
              </w:numPr>
              <w:spacing w:before="53" w:after="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Estimated Useful Life</w:t>
            </w:r>
          </w:p>
          <w:p>
            <w:pPr>
              <w:pageBreakBefore w:val="0"/>
              <w:numPr>
                <w:ilvl w:val="0"/>
                <w:numId w:val="0"/>
              </w:numPr>
              <w:spacing w:before="0"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 years)</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2024</w:t>
            </w:r>
          </w:p>
        </w:tc>
      </w:tr>
      <w:tr>
        <w:tblPrEx>
          <w:tblW w:w="915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Furniture and equipment</w:t>
            </w:r>
          </w:p>
        </w:tc>
        <w:tc>
          <w:tcPr>
            <w:tcW w:w="121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2 to 5</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9,103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8,273</w:t>
              <w:tab/>
            </w:r>
          </w:p>
        </w:tc>
      </w:tr>
      <w:tr>
        <w:tblPrEx>
          <w:tblW w:w="915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Software development costs</w:t>
            </w:r>
          </w:p>
        </w:tc>
        <w:tc>
          <w:tcPr>
            <w:tcW w:w="12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3</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44,532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31,305</w:t>
              <w:tab/>
            </w:r>
          </w:p>
        </w:tc>
      </w:tr>
      <w:tr>
        <w:tblPrEx>
          <w:tblW w:w="915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Software</w:t>
            </w:r>
          </w:p>
        </w:tc>
        <w:tc>
          <w:tcPr>
            <w:tcW w:w="121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2 to 5 </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3,383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3,063</w:t>
              <w:tab/>
            </w:r>
          </w:p>
        </w:tc>
      </w:tr>
      <w:tr>
        <w:tblPrEx>
          <w:tblW w:w="915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Leasehold improvements</w:t>
            </w:r>
          </w:p>
        </w:tc>
        <w:tc>
          <w:tcPr>
            <w:tcW w:w="121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2 to 5</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2,913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2,595</w:t>
              <w:tab/>
            </w:r>
          </w:p>
        </w:tc>
      </w:tr>
      <w:tr>
        <w:tblPrEx>
          <w:tblW w:w="915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Gross property and equipment</w:t>
            </w:r>
          </w:p>
        </w:tc>
        <w:tc>
          <w:tcPr>
            <w:tcW w:w="121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59,931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45,236</w:t>
              <w:tab/>
            </w:r>
          </w:p>
        </w:tc>
      </w:tr>
      <w:tr>
        <w:tblPrEx>
          <w:tblW w:w="915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Less: accumulated depreciation and amortization</w:t>
            </w:r>
          </w:p>
        </w:tc>
        <w:tc>
          <w:tcPr>
            <w:tcW w:w="121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16"/>
              </w:tabs>
              <w:spacing w:before="53" w:after="30" w:line="240" w:lineRule="auto"/>
              <w:jc w:val="right"/>
            </w:pPr>
            <w:r>
              <w:rPr>
                <w:rFonts w:ascii="Times New Roman" w:eastAsia="Times New Roman" w:hAnsi="Times New Roman" w:cs="Times New Roman"/>
                <w:b w:val="0"/>
                <w:i w:val="0"/>
                <w:color w:val="000000"/>
                <w:sz w:val="20"/>
                <w:u w:val="none"/>
              </w:rPr>
              <w:tab/>
              <w:t>(32,121)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16"/>
              </w:tabs>
              <w:spacing w:before="53" w:after="30" w:line="240" w:lineRule="auto"/>
              <w:jc w:val="right"/>
            </w:pPr>
            <w:r>
              <w:rPr>
                <w:rFonts w:ascii="Times New Roman" w:eastAsia="Times New Roman" w:hAnsi="Times New Roman" w:cs="Times New Roman"/>
                <w:b w:val="0"/>
                <w:i w:val="0"/>
                <w:color w:val="000000"/>
                <w:sz w:val="20"/>
                <w:u w:val="none"/>
              </w:rPr>
              <w:tab/>
              <w:t>(25,567)</w:t>
            </w:r>
          </w:p>
        </w:tc>
      </w:tr>
      <w:tr>
        <w:tblPrEx>
          <w:tblW w:w="915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Property and equipment, net</w:t>
            </w:r>
          </w:p>
        </w:tc>
        <w:tc>
          <w:tcPr>
            <w:tcW w:w="121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27,810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19,669</w:t>
              <w:tab/>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We record the depreciation and amortization of our property and equipment as depreciation expense on our Consolidated Statements of Comprehensive Loss. We record depreciation expenses using the </w:t>
      </w:r>
      <w:r>
        <w:rPr>
          <w:rFonts w:ascii="Times New Roman" w:eastAsia="Times New Roman" w:hAnsi="Times New Roman" w:cs="Times New Roman"/>
          <w:b w:val="0"/>
          <w:i w:val="0"/>
          <w:color w:val="000000"/>
          <w:sz w:val="20"/>
          <w:u w:val="none"/>
        </w:rPr>
        <w:t>straight-line method</w:t>
      </w:r>
      <w:r>
        <w:rPr>
          <w:rFonts w:ascii="Times New Roman" w:eastAsia="Times New Roman" w:hAnsi="Times New Roman" w:cs="Times New Roman"/>
          <w:b w:val="0"/>
          <w:i w:val="0"/>
          <w:color w:val="000000"/>
          <w:sz w:val="20"/>
          <w:u w:val="none"/>
        </w:rPr>
        <w:t xml:space="preserve"> over the estimated useful lives of the assets, as noted above. Depreciation and amortization expenses relating to property and equipment were $7,009 and $5,720 for the years ended December 31, 2025 and 2024, respectively.</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We acquired software development costs from prior acquisitions and we continue to invest in software development. We are developing products which we intend to offer utilizing software as-a-service (“SaaS”). We follow the guidance of ASC 350-40, Intangibles—Goodwill and Other—Internal-Use Software, for development costs related to these new products. Costs incurred in the planning stage are expensed as incurred while costs incurred in the application and infrastructure stage are capitalized, assuming such costs are deemed to be recoverable. Costs incurred in the operating stage are generally expensed as incurred except for significant upgrades and enhancements. Capitalized software costs are amortized over the software’s estimated useful life, which management has determined to be </w:t>
      </w:r>
      <w:r>
        <w:rPr>
          <w:rFonts w:ascii="Times New Roman" w:eastAsia="Times New Roman" w:hAnsi="Times New Roman" w:cs="Times New Roman"/>
          <w:b w:val="0"/>
          <w:i w:val="0"/>
          <w:color w:val="000000"/>
          <w:sz w:val="20"/>
          <w:u w:val="none"/>
        </w:rPr>
        <w:t>three years</w:t>
      </w:r>
      <w:r>
        <w:rPr>
          <w:rFonts w:ascii="Times New Roman" w:eastAsia="Times New Roman" w:hAnsi="Times New Roman" w:cs="Times New Roman"/>
          <w:b w:val="0"/>
          <w:i w:val="0"/>
          <w:color w:val="000000"/>
          <w:sz w:val="20"/>
          <w:u w:val="none"/>
        </w:rPr>
        <w:t>. During the years ended December 31, 2025 and 2024, we capitalized $13,733 and $10,187 of software development costs, respectively.</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31" w:name="Section32"/>
      <w:bookmarkEnd w:id="31"/>
    </w:p>
    <w:p>
      <w:pPr>
        <w:keepNext/>
        <w:keepLines/>
        <w:pageBreakBefore w:val="0"/>
        <w:widowControl w:val="0"/>
        <w:numPr>
          <w:ilvl w:val="0"/>
          <w:numId w:val="0"/>
        </w:numPr>
        <w:spacing w:before="0" w:after="0" w:line="288" w:lineRule="auto"/>
        <w:ind w:left="0" w:right="0" w:firstLine="0"/>
        <w:jc w:val="both"/>
        <w:outlineLvl w:val="3"/>
        <w:rPr>
          <w:rFonts w:ascii="Times New Roman" w:eastAsia="Times New Roman" w:hAnsi="Times New Roman" w:cs="Times New Roman"/>
          <w:b/>
          <w:i w:val="0"/>
          <w:sz w:val="20"/>
        </w:rPr>
      </w:pPr>
      <w:r>
        <w:rPr>
          <w:rFonts w:ascii="Times New Roman" w:eastAsia="Times New Roman" w:hAnsi="Times New Roman" w:cs="Times New Roman"/>
          <w:b/>
          <w:i w:val="0"/>
          <w:sz w:val="20"/>
        </w:rPr>
        <w:t>NOTE 5</w:t>
      </w:r>
      <w:r>
        <w:rPr>
          <w:rFonts w:ascii="Times New Roman" w:eastAsia="Times New Roman" w:hAnsi="Times New Roman" w:cs="Times New Roman"/>
          <w:b w:val="0"/>
          <w:i w:val="0"/>
          <w:sz w:val="20"/>
        </w:rPr>
        <w:t xml:space="preserve"> - </w:t>
      </w:r>
      <w:r>
        <w:rPr>
          <w:rFonts w:ascii="Times New Roman" w:eastAsia="Times New Roman" w:hAnsi="Times New Roman" w:cs="Times New Roman"/>
          <w:b/>
          <w:i w:val="0"/>
          <w:color w:val="000000"/>
          <w:sz w:val="20"/>
          <w:u w:val="none"/>
        </w:rPr>
        <w:t>GOODWILL AND OTHER INTANGIBLE ASSETS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655"/>
        <w:gridCol w:w="1485"/>
        <w:gridCol w:w="75"/>
        <w:gridCol w:w="1485"/>
        <w:gridCol w:w="75"/>
        <w:gridCol w:w="1485"/>
      </w:tblGrid>
      <w:tr>
        <w:tblPrEx>
          <w:tblW w:w="10260" w:type="dxa"/>
          <w:tblInd w:w="0" w:type="dxa"/>
          <w:tblLayout w:type="fixed"/>
        </w:tblPrEx>
        <w:trPr>
          <w:cantSplit/>
          <w:trHeight w:hRule="exact" w:val="285"/>
        </w:trPr>
        <w:tc>
          <w:tcPr>
            <w:tcW w:w="56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2024</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Acquisitions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2025</w:t>
            </w:r>
          </w:p>
        </w:tc>
      </w:tr>
      <w:tr>
        <w:tblPrEx>
          <w:tblW w:w="10260" w:type="dxa"/>
          <w:tblInd w:w="0" w:type="dxa"/>
          <w:tblLayout w:type="fixed"/>
        </w:tblPrEx>
        <w:trPr>
          <w:cantSplit/>
          <w:trHeight w:hRule="exact" w:val="315"/>
        </w:trPr>
        <w:tc>
          <w:tcPr>
            <w:tcW w:w="565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Goodwill</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94,724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21,035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115,759</w:t>
              <w:tab/>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We believe significant synergies are expected to arise from our strategic acquisitions and their assembled work forces. This factor contributed to a purchase price that was in excess of the fair value of the net assets acquired and, as a result, we recorded goodwill for each acquisition. A portion of acquired goodwill will be amortizable for tax purposes. As of December 31, 2025, there has been no impairment of goodwill based on the qualitative assessments we have performed.</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655"/>
        <w:gridCol w:w="1485"/>
        <w:gridCol w:w="75"/>
        <w:gridCol w:w="1485"/>
        <w:gridCol w:w="75"/>
        <w:gridCol w:w="1485"/>
      </w:tblGrid>
      <w:tr>
        <w:tblPrEx>
          <w:tblW w:w="10260" w:type="dxa"/>
          <w:tblInd w:w="0" w:type="dxa"/>
          <w:tblLayout w:type="fixed"/>
        </w:tblPrEx>
        <w:trPr>
          <w:cantSplit/>
          <w:trHeight w:hRule="exact" w:val="285"/>
        </w:trPr>
        <w:tc>
          <w:tcPr>
            <w:tcW w:w="565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Gross Intangible Assets</w:t>
            </w: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2024</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Acquisitions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2025</w:t>
            </w:r>
          </w:p>
        </w:tc>
      </w:tr>
      <w:tr>
        <w:tblPrEx>
          <w:tblW w:w="10260" w:type="dxa"/>
          <w:tblInd w:w="0" w:type="dxa"/>
          <w:tblLayout w:type="fixed"/>
        </w:tblPrEx>
        <w:trPr>
          <w:cantSplit/>
          <w:trHeight w:hRule="exact" w:val="315"/>
        </w:trPr>
        <w:tc>
          <w:tcPr>
            <w:tcW w:w="565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Customer relationships</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148,097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33,927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182,024</w:t>
              <w:tab/>
            </w:r>
          </w:p>
        </w:tc>
      </w:tr>
      <w:tr>
        <w:tblPrEx>
          <w:tblW w:w="10260" w:type="dxa"/>
          <w:tblInd w:w="0" w:type="dxa"/>
          <w:tblLayout w:type="fixed"/>
        </w:tblPrEx>
        <w:trPr>
          <w:cantSplit/>
          <w:trHeight w:hRule="exact" w:val="315"/>
        </w:trPr>
        <w:tc>
          <w:tcPr>
            <w:tcW w:w="565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Developed technology</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15,201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4,300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19,501</w:t>
            </w:r>
          </w:p>
        </w:tc>
      </w:tr>
      <w:tr>
        <w:tblPrEx>
          <w:tblW w:w="10260" w:type="dxa"/>
          <w:tblInd w:w="0" w:type="dxa"/>
          <w:tblLayout w:type="fixed"/>
        </w:tblPrEx>
        <w:trPr>
          <w:cantSplit/>
          <w:trHeight w:hRule="exact" w:val="315"/>
        </w:trPr>
        <w:tc>
          <w:tcPr>
            <w:tcW w:w="565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Trade names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880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880</w:t>
            </w:r>
          </w:p>
        </w:tc>
      </w:tr>
      <w:tr>
        <w:tblPrEx>
          <w:tblW w:w="10260" w:type="dxa"/>
          <w:tblInd w:w="0" w:type="dxa"/>
          <w:tblLayout w:type="fixed"/>
        </w:tblPrEx>
        <w:trPr>
          <w:cantSplit/>
          <w:trHeight w:hRule="exact" w:val="315"/>
        </w:trPr>
        <w:tc>
          <w:tcPr>
            <w:tcW w:w="565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Non-compete agreements</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1,032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1,032</w:t>
            </w:r>
          </w:p>
        </w:tc>
      </w:tr>
      <w:tr>
        <w:tblPrEx>
          <w:tblW w:w="10260" w:type="dxa"/>
          <w:tblInd w:w="0" w:type="dxa"/>
          <w:tblLayout w:type="fixed"/>
        </w:tblPrEx>
        <w:trPr>
          <w:cantSplit/>
          <w:trHeight w:hRule="exact" w:val="315"/>
        </w:trPr>
        <w:tc>
          <w:tcPr>
            <w:tcW w:w="565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165,210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38,227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203,437</w:t>
              <w:tab/>
            </w:r>
          </w:p>
        </w:tc>
      </w:tr>
    </w:tbl>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gross carrying amount and accumulated amortization of our intangible assets as of December 31, 2025 and 2024, are as follows (in thousands, except weighted average periods):</w:t>
      </w: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020"/>
        <w:gridCol w:w="75"/>
        <w:gridCol w:w="1485"/>
        <w:gridCol w:w="75"/>
        <w:gridCol w:w="1485"/>
        <w:gridCol w:w="75"/>
        <w:gridCol w:w="1485"/>
        <w:gridCol w:w="75"/>
        <w:gridCol w:w="1485"/>
      </w:tblGrid>
      <w:tr>
        <w:tblPrEx>
          <w:tblW w:w="10260" w:type="dxa"/>
          <w:tblInd w:w="0" w:type="dxa"/>
          <w:tblLayout w:type="fixed"/>
        </w:tblPrEx>
        <w:trPr>
          <w:cantSplit/>
          <w:trHeight w:hRule="exact" w:val="1065"/>
        </w:trPr>
        <w:tc>
          <w:tcPr>
            <w:tcW w:w="40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40" w:lineRule="auto"/>
              <w:jc w:val="center"/>
            </w:pPr>
            <w:r>
              <w:rPr>
                <w:rFonts w:ascii="Times New Roman" w:eastAsia="Times New Roman" w:hAnsi="Times New Roman" w:cs="Times New Roman"/>
                <w:b/>
                <w:i w:val="0"/>
                <w:color w:val="000000"/>
                <w:sz w:val="20"/>
                <w:u w:val="none"/>
              </w:rPr>
              <w:t>Weighted Average</w:t>
            </w:r>
          </w:p>
          <w:p>
            <w:pPr>
              <w:spacing w:line="240" w:lineRule="auto"/>
              <w:jc w:val="center"/>
            </w:pPr>
            <w:r>
              <w:rPr>
                <w:rFonts w:ascii="Times New Roman" w:eastAsia="Times New Roman" w:hAnsi="Times New Roman" w:cs="Times New Roman"/>
                <w:b/>
                <w:i w:val="0"/>
                <w:color w:val="000000"/>
                <w:sz w:val="20"/>
                <w:u w:val="none"/>
              </w:rPr>
              <w:t>Amortization</w:t>
            </w:r>
          </w:p>
          <w:p>
            <w:pPr>
              <w:spacing w:line="240" w:lineRule="auto"/>
              <w:jc w:val="center"/>
            </w:pPr>
            <w:r>
              <w:rPr>
                <w:rFonts w:ascii="Times New Roman" w:eastAsia="Times New Roman" w:hAnsi="Times New Roman" w:cs="Times New Roman"/>
                <w:b/>
                <w:i w:val="0"/>
                <w:color w:val="000000"/>
                <w:sz w:val="20"/>
                <w:u w:val="none"/>
              </w:rPr>
              <w:t xml:space="preserve">Period </w:t>
            </w:r>
          </w:p>
          <w:p>
            <w:pPr>
              <w:spacing w:after="30" w:line="240" w:lineRule="auto"/>
              <w:jc w:val="center"/>
            </w:pPr>
            <w:r>
              <w:rPr>
                <w:rFonts w:ascii="Times New Roman" w:eastAsia="Times New Roman" w:hAnsi="Times New Roman" w:cs="Times New Roman"/>
                <w:b/>
                <w:i w:val="0"/>
                <w:color w:val="000000"/>
                <w:sz w:val="20"/>
                <w:u w:val="none"/>
              </w:rPr>
              <w:t>(in Years)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Gross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40" w:lineRule="auto"/>
              <w:jc w:val="center"/>
            </w:pPr>
            <w:r>
              <w:rPr>
                <w:rFonts w:ascii="Times New Roman" w:eastAsia="Times New Roman" w:hAnsi="Times New Roman" w:cs="Times New Roman"/>
                <w:b/>
                <w:i w:val="0"/>
                <w:color w:val="000000"/>
                <w:sz w:val="20"/>
                <w:u w:val="none"/>
              </w:rPr>
              <w:t>Accumulated</w:t>
            </w:r>
          </w:p>
          <w:p>
            <w:pPr>
              <w:spacing w:after="30" w:line="240" w:lineRule="auto"/>
              <w:jc w:val="center"/>
            </w:pPr>
            <w:r>
              <w:rPr>
                <w:rFonts w:ascii="Times New Roman" w:eastAsia="Times New Roman" w:hAnsi="Times New Roman" w:cs="Times New Roman"/>
                <w:b/>
                <w:i w:val="0"/>
                <w:color w:val="000000"/>
                <w:sz w:val="20"/>
                <w:u w:val="none"/>
              </w:rPr>
              <w:t>Amortization</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Net</w:t>
            </w:r>
          </w:p>
        </w:tc>
      </w:tr>
      <w:tr>
        <w:tblPrEx>
          <w:tblW w:w="10260" w:type="dxa"/>
          <w:tblInd w:w="0" w:type="dxa"/>
          <w:tblLayout w:type="fixed"/>
        </w:tblPrEx>
        <w:trPr>
          <w:cantSplit/>
          <w:trHeight w:hRule="exact" w:val="285"/>
        </w:trPr>
        <w:tc>
          <w:tcPr>
            <w:tcW w:w="402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i w:val="0"/>
                <w:color w:val="000000"/>
                <w:sz w:val="20"/>
                <w:u w:val="none"/>
              </w:rPr>
              <w:t>December 31, 2025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02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Customer relationships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8.5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182,024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16"/>
              </w:tabs>
              <w:spacing w:before="53" w:after="30" w:line="240" w:lineRule="auto"/>
              <w:jc w:val="right"/>
            </w:pPr>
            <w:r>
              <w:rPr>
                <w:rFonts w:ascii="Times New Roman" w:eastAsia="Times New Roman" w:hAnsi="Times New Roman" w:cs="Times New Roman"/>
                <w:b w:val="0"/>
                <w:i w:val="0"/>
                <w:color w:val="000000"/>
                <w:sz w:val="20"/>
                <w:u w:val="none"/>
              </w:rPr>
              <w:t>$</w:t>
              <w:tab/>
              <w:t>(101,343)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80,681</w:t>
              <w:tab/>
            </w:r>
          </w:p>
        </w:tc>
      </w:tr>
      <w:tr>
        <w:tblPrEx>
          <w:tblW w:w="10260" w:type="dxa"/>
          <w:tblInd w:w="0" w:type="dxa"/>
          <w:tblLayout w:type="fixed"/>
        </w:tblPrEx>
        <w:trPr>
          <w:cantSplit/>
          <w:trHeight w:hRule="exact" w:val="285"/>
        </w:trPr>
        <w:tc>
          <w:tcPr>
            <w:tcW w:w="402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Developed technology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6.6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19,501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6"/>
              </w:tabs>
              <w:spacing w:before="53" w:after="30" w:line="240" w:lineRule="auto"/>
              <w:jc w:val="right"/>
            </w:pPr>
            <w:r>
              <w:rPr>
                <w:rFonts w:ascii="Times New Roman" w:eastAsia="Times New Roman" w:hAnsi="Times New Roman" w:cs="Times New Roman"/>
                <w:b w:val="0"/>
                <w:i w:val="0"/>
                <w:color w:val="000000"/>
                <w:sz w:val="20"/>
                <w:u w:val="none"/>
              </w:rPr>
              <w:tab/>
              <w:t>(12,348)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7,153</w:t>
              <w:tab/>
            </w:r>
          </w:p>
        </w:tc>
      </w:tr>
      <w:tr>
        <w:tblPrEx>
          <w:tblW w:w="10260" w:type="dxa"/>
          <w:tblInd w:w="0" w:type="dxa"/>
          <w:tblLayout w:type="fixed"/>
        </w:tblPrEx>
        <w:trPr>
          <w:cantSplit/>
          <w:trHeight w:hRule="exact" w:val="285"/>
        </w:trPr>
        <w:tc>
          <w:tcPr>
            <w:tcW w:w="402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Trade names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4.3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880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(880)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Ind w:w="0" w:type="dxa"/>
          <w:tblLayout w:type="fixed"/>
        </w:tblPrEx>
        <w:trPr>
          <w:cantSplit/>
          <w:trHeight w:hRule="exact" w:val="285"/>
        </w:trPr>
        <w:tc>
          <w:tcPr>
            <w:tcW w:w="402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Non-compete agreements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5.2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1,032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(955)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77</w:t>
              <w:tab/>
            </w:r>
          </w:p>
        </w:tc>
      </w:tr>
      <w:tr>
        <w:tblPrEx>
          <w:tblW w:w="10260" w:type="dxa"/>
          <w:tblInd w:w="0" w:type="dxa"/>
          <w:tblLayout w:type="fixed"/>
        </w:tblPrEx>
        <w:trPr>
          <w:cantSplit/>
          <w:trHeight w:hRule="exact" w:val="285"/>
        </w:trPr>
        <w:tc>
          <w:tcPr>
            <w:tcW w:w="402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val="0"/>
                <w:i w:val="0"/>
                <w:color w:val="000000"/>
                <w:sz w:val="20"/>
                <w:u w:val="none"/>
              </w:rPr>
              <w:t>8.2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203,437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16"/>
              </w:tabs>
              <w:spacing w:before="33" w:after="30" w:line="240" w:lineRule="auto"/>
              <w:jc w:val="right"/>
            </w:pPr>
            <w:r>
              <w:rPr>
                <w:rFonts w:ascii="Times New Roman" w:eastAsia="Times New Roman" w:hAnsi="Times New Roman" w:cs="Times New Roman"/>
                <w:b w:val="0"/>
                <w:i w:val="0"/>
                <w:color w:val="000000"/>
                <w:sz w:val="20"/>
                <w:u w:val="none"/>
              </w:rPr>
              <w:t>$</w:t>
              <w:tab/>
              <w:t>(115,526)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87,911</w:t>
              <w:tab/>
            </w:r>
          </w:p>
        </w:tc>
      </w:tr>
      <w:tr>
        <w:tblPrEx>
          <w:tblW w:w="10260" w:type="dxa"/>
          <w:tblInd w:w="0" w:type="dxa"/>
          <w:tblLayout w:type="fixed"/>
        </w:tblPrEx>
        <w:trPr>
          <w:cantSplit/>
          <w:trHeight w:hRule="exact" w:val="285"/>
        </w:trPr>
        <w:tc>
          <w:tcPr>
            <w:tcW w:w="402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02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December 31, 2024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02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Customer relationships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8.6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148,097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6"/>
              </w:tabs>
              <w:spacing w:before="53" w:after="30" w:line="240" w:lineRule="auto"/>
              <w:jc w:val="right"/>
            </w:pPr>
            <w:r>
              <w:rPr>
                <w:rFonts w:ascii="Times New Roman" w:eastAsia="Times New Roman" w:hAnsi="Times New Roman" w:cs="Times New Roman"/>
                <w:b w:val="0"/>
                <w:i w:val="0"/>
                <w:color w:val="000000"/>
                <w:sz w:val="20"/>
                <w:u w:val="none"/>
              </w:rPr>
              <w:t>$</w:t>
              <w:tab/>
              <w:t>(83,074)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65,023</w:t>
              <w:tab/>
            </w:r>
          </w:p>
        </w:tc>
      </w:tr>
      <w:tr>
        <w:tblPrEx>
          <w:tblW w:w="10260" w:type="dxa"/>
          <w:tblInd w:w="0" w:type="dxa"/>
          <w:tblLayout w:type="fixed"/>
        </w:tblPrEx>
        <w:trPr>
          <w:cantSplit/>
          <w:trHeight w:hRule="exact" w:val="285"/>
        </w:trPr>
        <w:tc>
          <w:tcPr>
            <w:tcW w:w="402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Developed technology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6.5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15,201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6"/>
              </w:tabs>
              <w:spacing w:before="53" w:after="30" w:line="240" w:lineRule="auto"/>
              <w:jc w:val="right"/>
            </w:pPr>
            <w:r>
              <w:rPr>
                <w:rFonts w:ascii="Times New Roman" w:eastAsia="Times New Roman" w:hAnsi="Times New Roman" w:cs="Times New Roman"/>
                <w:b w:val="0"/>
                <w:i w:val="0"/>
                <w:color w:val="000000"/>
                <w:sz w:val="20"/>
                <w:u w:val="none"/>
              </w:rPr>
              <w:tab/>
              <w:t>(11,201)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4,000</w:t>
              <w:tab/>
            </w:r>
          </w:p>
        </w:tc>
      </w:tr>
      <w:tr>
        <w:tblPrEx>
          <w:tblW w:w="10260" w:type="dxa"/>
          <w:tblInd w:w="0" w:type="dxa"/>
          <w:tblLayout w:type="fixed"/>
        </w:tblPrEx>
        <w:trPr>
          <w:cantSplit/>
          <w:trHeight w:hRule="exact" w:val="285"/>
        </w:trPr>
        <w:tc>
          <w:tcPr>
            <w:tcW w:w="402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Trade names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4.3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880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(880)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Ind w:w="0" w:type="dxa"/>
          <w:tblLayout w:type="fixed"/>
        </w:tblPrEx>
        <w:trPr>
          <w:cantSplit/>
          <w:trHeight w:hRule="exact" w:val="285"/>
        </w:trPr>
        <w:tc>
          <w:tcPr>
            <w:tcW w:w="402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Non-compete agreements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5.2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1,032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(941)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91</w:t>
              <w:tab/>
            </w:r>
          </w:p>
        </w:tc>
      </w:tr>
      <w:tr>
        <w:tblPrEx>
          <w:tblW w:w="10260" w:type="dxa"/>
          <w:tblInd w:w="0" w:type="dxa"/>
          <w:tblLayout w:type="fixed"/>
        </w:tblPrEx>
        <w:trPr>
          <w:cantSplit/>
          <w:trHeight w:hRule="exact" w:val="285"/>
        </w:trPr>
        <w:tc>
          <w:tcPr>
            <w:tcW w:w="402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center"/>
            </w:pPr>
            <w:r>
              <w:rPr>
                <w:rFonts w:ascii="Times New Roman" w:eastAsia="Times New Roman" w:hAnsi="Times New Roman" w:cs="Times New Roman"/>
                <w:b w:val="0"/>
                <w:i w:val="0"/>
                <w:color w:val="000000"/>
                <w:sz w:val="20"/>
                <w:u w:val="none"/>
              </w:rPr>
              <w:t>8.3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165,210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716"/>
              </w:tabs>
              <w:spacing w:before="33" w:after="30" w:line="240" w:lineRule="auto"/>
              <w:jc w:val="right"/>
            </w:pPr>
            <w:r>
              <w:rPr>
                <w:rFonts w:ascii="Times New Roman" w:eastAsia="Times New Roman" w:hAnsi="Times New Roman" w:cs="Times New Roman"/>
                <w:b w:val="0"/>
                <w:i w:val="0"/>
                <w:color w:val="000000"/>
                <w:sz w:val="20"/>
                <w:u w:val="none"/>
              </w:rPr>
              <w:t>$</w:t>
              <w:tab/>
              <w:t>(96,096)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69,114</w:t>
              <w:tab/>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We record amortization expenses using the </w:t>
      </w:r>
      <w:r>
        <w:rPr>
          <w:rFonts w:ascii="Times New Roman" w:eastAsia="Times New Roman" w:hAnsi="Times New Roman" w:cs="Times New Roman"/>
          <w:b w:val="0"/>
          <w:i w:val="0"/>
          <w:color w:val="000000"/>
          <w:sz w:val="20"/>
          <w:u w:val="none"/>
        </w:rPr>
        <w:t>straight-line method</w:t>
      </w:r>
      <w:r>
        <w:rPr>
          <w:rFonts w:ascii="Times New Roman" w:eastAsia="Times New Roman" w:hAnsi="Times New Roman" w:cs="Times New Roman"/>
          <w:b w:val="0"/>
          <w:i w:val="0"/>
          <w:color w:val="000000"/>
          <w:sz w:val="20"/>
          <w:u w:val="none"/>
        </w:rPr>
        <w:t xml:space="preserve"> over the estimated useful lives of the intangible assets, as noted above. Amortization expenses recorded in operating expenses were $18,283 and $16,222 for the years ended December 31, 2025 and 2024, respectively. Amortization expenses recorded in cost of sales were $1,147 and $200 for the years ended December 31, 2025 and 2024, respectively. There was </w:t>
      </w:r>
      <w:r>
        <w:rPr>
          <w:rFonts w:ascii="Times New Roman" w:eastAsia="Times New Roman" w:hAnsi="Times New Roman" w:cs="Times New Roman"/>
          <w:b w:val="0"/>
          <w:i w:val="0"/>
          <w:color w:val="000000"/>
          <w:sz w:val="20"/>
          <w:u w:val="none"/>
        </w:rPr>
        <w:t>no</w:t>
      </w:r>
      <w:r>
        <w:rPr>
          <w:rFonts w:ascii="Times New Roman" w:eastAsia="Times New Roman" w:hAnsi="Times New Roman" w:cs="Times New Roman"/>
          <w:b w:val="0"/>
          <w:i w:val="0"/>
          <w:color w:val="000000"/>
          <w:sz w:val="20"/>
          <w:u w:val="none"/>
        </w:rPr>
        <w:t xml:space="preserve"> impairment of intangibles during the year ended December 31, 2025, based on the qualitative assessment we performed. However, if market, political and other conditions over which we have no control continue to affect the capital markets and our stock price declines, we may experience an impairment of our intangibles in future quarters.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the future estimated amortization expense relating to our intangible assets as of December 31, 2025 (in thousands):</w:t>
      </w:r>
    </w:p>
    <w:tbl>
      <w:tblPr>
        <w:tblW w:w="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485"/>
      </w:tblGrid>
      <w:tr>
        <w:tblPrEx>
          <w:tblW w:w="627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2026</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18,649</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2027</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16,462</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2028</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15,017</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2029</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12,854</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2030</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9,224</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Thereafter</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15,705</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87,911</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
          <w:u w:val="none"/>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
          <w:u w:val="none"/>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32" w:name="Section33"/>
      <w:bookmarkEnd w:id="32"/>
    </w:p>
    <w:p>
      <w:pPr>
        <w:keepNext/>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 xml:space="preserve">NOTE 6 - </w:t>
      </w:r>
      <w:r>
        <w:rPr>
          <w:rFonts w:ascii="Times New Roman" w:eastAsia="Times New Roman" w:hAnsi="Times New Roman" w:cs="Times New Roman"/>
          <w:b/>
          <w:i w:val="0"/>
          <w:color w:val="000000"/>
          <w:sz w:val="20"/>
          <w:u w:val="none"/>
        </w:rPr>
        <w:t>NOTES PAYABLE</w:t>
      </w:r>
    </w:p>
    <w:p>
      <w:pPr>
        <w:keepNext/>
        <w:keepLines/>
        <w:pageBreakBefore w:val="0"/>
        <w:widowControl w:val="0"/>
        <w:numPr>
          <w:ilvl w:val="0"/>
          <w:numId w:val="0"/>
        </w:numPr>
        <w:spacing w:before="0" w:after="0" w:line="288" w:lineRule="auto"/>
        <w:ind w:left="0" w:right="0" w:firstLine="135"/>
        <w:jc w:val="left"/>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our gross outstanding debt as of the dates indicated</w:t>
      </w:r>
      <w:r>
        <w:rPr>
          <w:rFonts w:ascii="Times New Roman" w:eastAsia="Times New Roman" w:hAnsi="Times New Roman" w:cs="Times New Roman"/>
          <w:b w:val="0"/>
          <w:i w:val="0"/>
          <w:color w:val="000000"/>
          <w:sz w:val="20"/>
          <w:u w:val="none"/>
          <w:vertAlign w:val="superscript"/>
        </w:rPr>
        <w:t xml:space="preserve"> </w:t>
      </w:r>
      <w:r>
        <w:rPr>
          <w:rFonts w:ascii="Times New Roman" w:eastAsia="Times New Roman" w:hAnsi="Times New Roman" w:cs="Times New Roman"/>
          <w:b w:val="0"/>
          <w:i w:val="0"/>
          <w:color w:val="000000"/>
          <w:sz w:val="20"/>
          <w:u w:val="none"/>
        </w:rPr>
        <w:t>(in thousands)</w:t>
      </w:r>
      <w:r>
        <w:rPr>
          <w:rFonts w:ascii="Times New Roman" w:eastAsia="Times New Roman" w:hAnsi="Times New Roman" w:cs="Times New Roman"/>
          <w:b w:val="0"/>
          <w:i w:val="0"/>
          <w:color w:val="000000"/>
          <w:sz w:val="20"/>
          <w:u w:val="none"/>
        </w:rPr>
        <w:t>:</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970"/>
        <w:gridCol w:w="1905"/>
        <w:gridCol w:w="75"/>
        <w:gridCol w:w="1710"/>
        <w:gridCol w:w="75"/>
        <w:gridCol w:w="1725"/>
        <w:gridCol w:w="75"/>
        <w:gridCol w:w="1725"/>
      </w:tblGrid>
      <w:tr>
        <w:tblPrEx>
          <w:tblW w:w="10260" w:type="dxa"/>
          <w:tblInd w:w="0" w:type="dxa"/>
          <w:tblLayout w:type="fixed"/>
        </w:tblPrEx>
        <w:trPr>
          <w:cantSplit/>
          <w:trHeight w:hRule="exact" w:val="285"/>
        </w:trPr>
        <w:tc>
          <w:tcPr>
            <w:tcW w:w="2970"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19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Maturity</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71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Cash Interest Rate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72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2025</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72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2024</w:t>
            </w:r>
          </w:p>
        </w:tc>
      </w:tr>
      <w:tr>
        <w:tblPrEx>
          <w:tblW w:w="10260" w:type="dxa"/>
          <w:tblInd w:w="0" w:type="dxa"/>
          <w:tblLayout w:type="fixed"/>
        </w:tblPrEx>
        <w:trPr>
          <w:cantSplit/>
          <w:trHeight w:hRule="exact" w:val="285"/>
        </w:trPr>
        <w:tc>
          <w:tcPr>
            <w:tcW w:w="297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Notes Payable – Acquisitions</w:t>
            </w:r>
            <w:r>
              <w:rPr>
                <w:rFonts w:ascii="Times New Roman" w:eastAsia="Times New Roman" w:hAnsi="Times New Roman" w:cs="Times New Roman"/>
                <w:b w:val="0"/>
                <w:i w:val="0"/>
                <w:sz w:val="20"/>
                <w:vertAlign w:val="superscript"/>
              </w:rPr>
              <w:t>(1)</w:t>
            </w:r>
          </w:p>
        </w:tc>
        <w:tc>
          <w:tcPr>
            <w:tcW w:w="190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val="0"/>
                <w:i w:val="0"/>
                <w:color w:val="000000"/>
                <w:sz w:val="20"/>
                <w:u w:val="none"/>
              </w:rPr>
              <w:t>08/01/2026 - 07/01/29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71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2.00% - 4.00%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7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42"/>
                <w:tab w:val="left" w:pos="1657"/>
              </w:tabs>
              <w:spacing w:before="33" w:after="30" w:line="240" w:lineRule="auto"/>
              <w:jc w:val="right"/>
            </w:pPr>
            <w:r>
              <w:rPr>
                <w:rFonts w:ascii="Times New Roman" w:eastAsia="Times New Roman" w:hAnsi="Times New Roman" w:cs="Times New Roman"/>
                <w:b w:val="0"/>
                <w:i w:val="0"/>
                <w:color w:val="000000"/>
                <w:sz w:val="20"/>
                <w:u w:val="none"/>
              </w:rPr>
              <w:t>$</w:t>
              <w:tab/>
              <w:t>10,775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7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42"/>
                <w:tab w:val="left" w:pos="1657"/>
              </w:tabs>
              <w:spacing w:before="33" w:after="30" w:line="240" w:lineRule="auto"/>
              <w:jc w:val="right"/>
            </w:pPr>
            <w:r>
              <w:rPr>
                <w:rFonts w:ascii="Times New Roman" w:eastAsia="Times New Roman" w:hAnsi="Times New Roman" w:cs="Times New Roman"/>
                <w:b w:val="0"/>
                <w:i w:val="0"/>
                <w:color w:val="000000"/>
                <w:sz w:val="20"/>
                <w:u w:val="none"/>
              </w:rPr>
              <w:t>$</w:t>
              <w:tab/>
              <w:t>9,943</w:t>
              <w:tab/>
            </w:r>
          </w:p>
        </w:tc>
      </w:tr>
      <w:tr>
        <w:tblPrEx>
          <w:tblW w:w="10260" w:type="dxa"/>
          <w:tblInd w:w="0" w:type="dxa"/>
          <w:tblLayout w:type="fixed"/>
        </w:tblPrEx>
        <w:trPr>
          <w:cantSplit/>
          <w:trHeight w:hRule="exact" w:val="285"/>
        </w:trPr>
        <w:tc>
          <w:tcPr>
            <w:tcW w:w="297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Notes Payable – Other</w:t>
            </w:r>
          </w:p>
        </w:tc>
        <w:tc>
          <w:tcPr>
            <w:tcW w:w="19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11/01/25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710"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10.00%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72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92"/>
                <w:tab w:val="left" w:pos="165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72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42"/>
                <w:tab w:val="left" w:pos="1657"/>
              </w:tabs>
              <w:spacing w:before="53" w:after="30" w:line="240" w:lineRule="auto"/>
              <w:jc w:val="right"/>
            </w:pPr>
            <w:r>
              <w:rPr>
                <w:rFonts w:ascii="Times New Roman" w:eastAsia="Times New Roman" w:hAnsi="Times New Roman" w:cs="Times New Roman"/>
                <w:b w:val="0"/>
                <w:i w:val="0"/>
                <w:color w:val="000000"/>
                <w:sz w:val="20"/>
                <w:u w:val="none"/>
              </w:rPr>
              <w:tab/>
              <w:t>5,000</w:t>
              <w:tab/>
            </w:r>
          </w:p>
        </w:tc>
      </w:tr>
      <w:tr>
        <w:tblPrEx>
          <w:tblW w:w="10260" w:type="dxa"/>
          <w:tblInd w:w="0" w:type="dxa"/>
          <w:tblLayout w:type="fixed"/>
        </w:tblPrEx>
        <w:trPr>
          <w:cantSplit/>
          <w:trHeight w:hRule="exact" w:val="285"/>
        </w:trPr>
        <w:tc>
          <w:tcPr>
            <w:tcW w:w="297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Senior Credit Facility</w:t>
            </w:r>
          </w:p>
        </w:tc>
        <w:tc>
          <w:tcPr>
            <w:tcW w:w="19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04/01/2030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710"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9.25%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7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42"/>
                <w:tab w:val="left" w:pos="1657"/>
              </w:tabs>
              <w:spacing w:before="53" w:after="30" w:line="240" w:lineRule="auto"/>
              <w:jc w:val="right"/>
            </w:pPr>
            <w:r>
              <w:rPr>
                <w:rFonts w:ascii="Times New Roman" w:eastAsia="Times New Roman" w:hAnsi="Times New Roman" w:cs="Times New Roman"/>
                <w:b w:val="0"/>
                <w:i w:val="0"/>
                <w:color w:val="000000"/>
                <w:sz w:val="20"/>
                <w:u w:val="none"/>
              </w:rPr>
              <w:tab/>
              <w:t>60,000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7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392"/>
                <w:tab w:val="left" w:pos="165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Ind w:w="0" w:type="dxa"/>
          <w:tblLayout w:type="fixed"/>
        </w:tblPrEx>
        <w:trPr>
          <w:cantSplit/>
          <w:trHeight w:hRule="exact" w:val="285"/>
        </w:trPr>
        <w:tc>
          <w:tcPr>
            <w:tcW w:w="297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 Notes Payable</w:t>
            </w:r>
          </w:p>
        </w:tc>
        <w:tc>
          <w:tcPr>
            <w:tcW w:w="190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71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72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042"/>
                <w:tab w:val="left" w:pos="1657"/>
              </w:tabs>
              <w:spacing w:before="33" w:after="30" w:line="240" w:lineRule="auto"/>
              <w:jc w:val="right"/>
            </w:pPr>
            <w:r>
              <w:rPr>
                <w:rFonts w:ascii="Times New Roman" w:eastAsia="Times New Roman" w:hAnsi="Times New Roman" w:cs="Times New Roman"/>
                <w:b w:val="0"/>
                <w:i w:val="0"/>
                <w:color w:val="000000"/>
                <w:sz w:val="20"/>
                <w:u w:val="none"/>
              </w:rPr>
              <w:t>$</w:t>
              <w:tab/>
              <w:t>70,775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72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042"/>
                <w:tab w:val="left" w:pos="1657"/>
              </w:tabs>
              <w:spacing w:before="33" w:after="30" w:line="240" w:lineRule="auto"/>
              <w:jc w:val="right"/>
            </w:pPr>
            <w:r>
              <w:rPr>
                <w:rFonts w:ascii="Times New Roman" w:eastAsia="Times New Roman" w:hAnsi="Times New Roman" w:cs="Times New Roman"/>
                <w:b w:val="0"/>
                <w:i w:val="0"/>
                <w:color w:val="000000"/>
                <w:sz w:val="20"/>
                <w:u w:val="none"/>
              </w:rPr>
              <w:t>$</w:t>
              <w:tab/>
              <w:t>14,943</w:t>
              <w:tab/>
            </w:r>
          </w:p>
        </w:tc>
      </w:tr>
    </w:tbl>
    <w:p>
      <w:pPr>
        <w:keepNext w:val="0"/>
        <w:keepLines/>
        <w:pageBreakBefore w:val="0"/>
        <w:widowControl w:val="0"/>
        <w:numPr>
          <w:ilvl w:val="0"/>
          <w:numId w:val="19"/>
        </w:numPr>
        <w:spacing w:before="0" w:after="0" w:line="288" w:lineRule="auto"/>
        <w:ind w:left="720" w:right="0" w:hanging="720"/>
        <w:jc w:val="left"/>
        <w:outlineLvl w:val="9"/>
        <w:rPr>
          <w:rFonts w:ascii="Times New Roman" w:eastAsia="Times New Roman" w:hAnsi="Times New Roman" w:cs="Times New Roman"/>
          <w:b w:val="0"/>
          <w:i w:val="0"/>
          <w:color w:val="000000"/>
          <w:sz w:val="18"/>
          <w:u w:val="none"/>
        </w:rPr>
      </w:pPr>
      <w:r>
        <w:rPr>
          <w:rFonts w:ascii="Times New Roman" w:eastAsia="Times New Roman" w:hAnsi="Times New Roman" w:cs="Times New Roman"/>
          <w:b w:val="0"/>
          <w:i w:val="0"/>
          <w:color w:val="000000"/>
          <w:sz w:val="18"/>
          <w:u w:val="none"/>
        </w:rPr>
        <w:t>See Note 2 — Business Combinations and Asset Acquisitions for further discussion regarding the notes payable related to acquisitions.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18"/>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the debt issuance costs as of the dates indicated (in thousands):</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395"/>
        <w:gridCol w:w="1905"/>
        <w:gridCol w:w="75"/>
        <w:gridCol w:w="1905"/>
        <w:gridCol w:w="75"/>
        <w:gridCol w:w="1905"/>
      </w:tblGrid>
      <w:tr>
        <w:tblPrEx>
          <w:tblW w:w="10260" w:type="dxa"/>
          <w:tblInd w:w="0" w:type="dxa"/>
          <w:tblLayout w:type="fixed"/>
        </w:tblPrEx>
        <w:trPr>
          <w:cantSplit/>
          <w:trHeight w:hRule="exact" w:val="675"/>
        </w:trPr>
        <w:tc>
          <w:tcPr>
            <w:tcW w:w="439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19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Gross Notes Payable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9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Debt Issuance Costs and Debt Discount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9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Net Notes Payable</w:t>
            </w:r>
          </w:p>
        </w:tc>
      </w:tr>
      <w:tr>
        <w:tblPrEx>
          <w:tblW w:w="10260" w:type="dxa"/>
          <w:tblInd w:w="0" w:type="dxa"/>
          <w:tblLayout w:type="fixed"/>
        </w:tblPrEx>
        <w:trPr>
          <w:cantSplit/>
          <w:trHeight w:hRule="exact" w:val="300"/>
        </w:trPr>
        <w:tc>
          <w:tcPr>
            <w:tcW w:w="4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i w:val="0"/>
                <w:color w:val="000000"/>
                <w:sz w:val="20"/>
                <w:u w:val="none"/>
              </w:rPr>
              <w:t>December 31, 2025</w:t>
            </w:r>
          </w:p>
        </w:tc>
        <w:tc>
          <w:tcPr>
            <w:tcW w:w="19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00"/>
        </w:trPr>
        <w:tc>
          <w:tcPr>
            <w:tcW w:w="4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Current portion of notes payable</w:t>
            </w: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22"/>
                <w:tab w:val="left" w:pos="1837"/>
              </w:tabs>
              <w:spacing w:before="53" w:after="30" w:line="240" w:lineRule="auto"/>
              <w:jc w:val="right"/>
            </w:pPr>
            <w:r>
              <w:rPr>
                <w:rFonts w:ascii="Times New Roman" w:eastAsia="Times New Roman" w:hAnsi="Times New Roman" w:cs="Times New Roman"/>
                <w:b w:val="0"/>
                <w:i w:val="0"/>
                <w:color w:val="000000"/>
                <w:sz w:val="20"/>
                <w:u w:val="none"/>
              </w:rPr>
              <w:t>$</w:t>
              <w:tab/>
              <w:t>4,834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86"/>
              </w:tabs>
              <w:spacing w:before="53" w:after="30" w:line="240" w:lineRule="auto"/>
              <w:jc w:val="right"/>
            </w:pPr>
            <w:r>
              <w:rPr>
                <w:rFonts w:ascii="Times New Roman" w:eastAsia="Times New Roman" w:hAnsi="Times New Roman" w:cs="Times New Roman"/>
                <w:b w:val="0"/>
                <w:i w:val="0"/>
                <w:color w:val="000000"/>
                <w:sz w:val="20"/>
                <w:u w:val="none"/>
              </w:rPr>
              <w:t>$</w:t>
              <w:tab/>
              <w:t>(490)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22"/>
                <w:tab w:val="left" w:pos="1837"/>
              </w:tabs>
              <w:spacing w:before="53" w:after="30" w:line="240" w:lineRule="auto"/>
              <w:jc w:val="right"/>
            </w:pPr>
            <w:r>
              <w:rPr>
                <w:rFonts w:ascii="Times New Roman" w:eastAsia="Times New Roman" w:hAnsi="Times New Roman" w:cs="Times New Roman"/>
                <w:b w:val="0"/>
                <w:i w:val="0"/>
                <w:color w:val="000000"/>
                <w:sz w:val="20"/>
                <w:u w:val="none"/>
              </w:rPr>
              <w:t>$</w:t>
              <w:tab/>
              <w:t>4,344</w:t>
              <w:tab/>
            </w:r>
          </w:p>
        </w:tc>
      </w:tr>
      <w:tr>
        <w:tblPrEx>
          <w:tblW w:w="10260" w:type="dxa"/>
          <w:tblInd w:w="0" w:type="dxa"/>
          <w:tblLayout w:type="fixed"/>
        </w:tblPrEx>
        <w:trPr>
          <w:cantSplit/>
          <w:trHeight w:hRule="exact" w:val="300"/>
        </w:trPr>
        <w:tc>
          <w:tcPr>
            <w:tcW w:w="4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Notes payable, net of current portion</w:t>
            </w:r>
          </w:p>
        </w:tc>
        <w:tc>
          <w:tcPr>
            <w:tcW w:w="19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222"/>
                <w:tab w:val="left" w:pos="1837"/>
              </w:tabs>
              <w:spacing w:before="53" w:after="30" w:line="240" w:lineRule="auto"/>
              <w:jc w:val="right"/>
            </w:pPr>
            <w:r>
              <w:rPr>
                <w:rFonts w:ascii="Times New Roman" w:eastAsia="Times New Roman" w:hAnsi="Times New Roman" w:cs="Times New Roman"/>
                <w:b w:val="0"/>
                <w:i w:val="0"/>
                <w:color w:val="000000"/>
                <w:sz w:val="20"/>
                <w:u w:val="none"/>
              </w:rPr>
              <w:tab/>
              <w:t>65,941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236"/>
              </w:tabs>
              <w:spacing w:before="53" w:after="30" w:line="240" w:lineRule="auto"/>
              <w:jc w:val="right"/>
            </w:pPr>
            <w:r>
              <w:rPr>
                <w:rFonts w:ascii="Times New Roman" w:eastAsia="Times New Roman" w:hAnsi="Times New Roman" w:cs="Times New Roman"/>
                <w:b w:val="0"/>
                <w:i w:val="0"/>
                <w:color w:val="000000"/>
                <w:sz w:val="20"/>
                <w:u w:val="none"/>
              </w:rPr>
              <w:tab/>
              <w:t>(2,659)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222"/>
                <w:tab w:val="left" w:pos="1837"/>
              </w:tabs>
              <w:spacing w:before="53" w:after="30" w:line="240" w:lineRule="auto"/>
              <w:jc w:val="right"/>
            </w:pPr>
            <w:r>
              <w:rPr>
                <w:rFonts w:ascii="Times New Roman" w:eastAsia="Times New Roman" w:hAnsi="Times New Roman" w:cs="Times New Roman"/>
                <w:b w:val="0"/>
                <w:i w:val="0"/>
                <w:color w:val="000000"/>
                <w:sz w:val="20"/>
                <w:u w:val="none"/>
              </w:rPr>
              <w:tab/>
              <w:t>63,282</w:t>
              <w:tab/>
            </w:r>
          </w:p>
        </w:tc>
      </w:tr>
      <w:tr>
        <w:tblPrEx>
          <w:tblW w:w="10260" w:type="dxa"/>
          <w:tblInd w:w="0" w:type="dxa"/>
          <w:tblLayout w:type="fixed"/>
        </w:tblPrEx>
        <w:trPr>
          <w:cantSplit/>
          <w:trHeight w:hRule="exact" w:val="285"/>
        </w:trPr>
        <w:tc>
          <w:tcPr>
            <w:tcW w:w="4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9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222"/>
                <w:tab w:val="left" w:pos="1837"/>
              </w:tabs>
              <w:spacing w:before="33" w:after="30" w:line="240" w:lineRule="auto"/>
              <w:jc w:val="right"/>
            </w:pPr>
            <w:r>
              <w:rPr>
                <w:rFonts w:ascii="Times New Roman" w:eastAsia="Times New Roman" w:hAnsi="Times New Roman" w:cs="Times New Roman"/>
                <w:b w:val="0"/>
                <w:i w:val="0"/>
                <w:color w:val="000000"/>
                <w:sz w:val="20"/>
                <w:u w:val="none"/>
              </w:rPr>
              <w:t>$</w:t>
              <w:tab/>
              <w:t>70,775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236"/>
              </w:tabs>
              <w:spacing w:before="33" w:after="30" w:line="240" w:lineRule="auto"/>
              <w:jc w:val="right"/>
            </w:pPr>
            <w:r>
              <w:rPr>
                <w:rFonts w:ascii="Times New Roman" w:eastAsia="Times New Roman" w:hAnsi="Times New Roman" w:cs="Times New Roman"/>
                <w:b w:val="0"/>
                <w:i w:val="0"/>
                <w:color w:val="000000"/>
                <w:sz w:val="20"/>
                <w:u w:val="none"/>
              </w:rPr>
              <w:t>$</w:t>
              <w:tab/>
              <w:t>(3,149)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222"/>
                <w:tab w:val="left" w:pos="1837"/>
              </w:tabs>
              <w:spacing w:before="33" w:after="30" w:line="240" w:lineRule="auto"/>
              <w:jc w:val="right"/>
            </w:pPr>
            <w:r>
              <w:rPr>
                <w:rFonts w:ascii="Times New Roman" w:eastAsia="Times New Roman" w:hAnsi="Times New Roman" w:cs="Times New Roman"/>
                <w:b w:val="0"/>
                <w:i w:val="0"/>
                <w:color w:val="000000"/>
                <w:sz w:val="20"/>
                <w:u w:val="none"/>
              </w:rPr>
              <w:t>$</w:t>
              <w:tab/>
              <w:t>67,626</w:t>
              <w:tab/>
            </w:r>
          </w:p>
        </w:tc>
      </w:tr>
      <w:tr>
        <w:tblPrEx>
          <w:tblW w:w="10260" w:type="dxa"/>
          <w:tblInd w:w="0" w:type="dxa"/>
          <w:tblLayout w:type="fixed"/>
        </w:tblPrEx>
        <w:trPr>
          <w:cantSplit/>
          <w:trHeight w:hRule="exact" w:val="285"/>
        </w:trPr>
        <w:tc>
          <w:tcPr>
            <w:tcW w:w="439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December 31, 2024</w:t>
            </w:r>
          </w:p>
        </w:tc>
        <w:tc>
          <w:tcPr>
            <w:tcW w:w="19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285"/>
        </w:trPr>
        <w:tc>
          <w:tcPr>
            <w:tcW w:w="43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Current portion of notes payable</w:t>
            </w: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22"/>
                <w:tab w:val="left" w:pos="1837"/>
              </w:tabs>
              <w:spacing w:before="53" w:after="30" w:line="240" w:lineRule="auto"/>
              <w:jc w:val="right"/>
            </w:pPr>
            <w:r>
              <w:rPr>
                <w:rFonts w:ascii="Times New Roman" w:eastAsia="Times New Roman" w:hAnsi="Times New Roman" w:cs="Times New Roman"/>
                <w:b w:val="0"/>
                <w:i w:val="0"/>
                <w:color w:val="000000"/>
                <w:sz w:val="20"/>
                <w:u w:val="none"/>
              </w:rPr>
              <w:t>$</w:t>
              <w:tab/>
              <w:t>7,578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86"/>
              </w:tabs>
              <w:spacing w:before="53" w:after="30" w:line="240" w:lineRule="auto"/>
              <w:jc w:val="right"/>
            </w:pPr>
            <w:r>
              <w:rPr>
                <w:rFonts w:ascii="Times New Roman" w:eastAsia="Times New Roman" w:hAnsi="Times New Roman" w:cs="Times New Roman"/>
                <w:b w:val="0"/>
                <w:i w:val="0"/>
                <w:color w:val="000000"/>
                <w:sz w:val="20"/>
                <w:u w:val="none"/>
              </w:rPr>
              <w:t>$</w:t>
              <w:tab/>
              <w:t>(570)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22"/>
                <w:tab w:val="left" w:pos="1837"/>
              </w:tabs>
              <w:spacing w:before="53" w:after="30" w:line="240" w:lineRule="auto"/>
              <w:jc w:val="right"/>
            </w:pPr>
            <w:r>
              <w:rPr>
                <w:rFonts w:ascii="Times New Roman" w:eastAsia="Times New Roman" w:hAnsi="Times New Roman" w:cs="Times New Roman"/>
                <w:b w:val="0"/>
                <w:i w:val="0"/>
                <w:color w:val="000000"/>
                <w:sz w:val="20"/>
                <w:u w:val="none"/>
              </w:rPr>
              <w:t>$</w:t>
              <w:tab/>
              <w:t>7,008</w:t>
              <w:tab/>
            </w:r>
          </w:p>
        </w:tc>
      </w:tr>
      <w:tr>
        <w:tblPrEx>
          <w:tblW w:w="10260" w:type="dxa"/>
          <w:tblInd w:w="0" w:type="dxa"/>
          <w:tblLayout w:type="fixed"/>
        </w:tblPrEx>
        <w:trPr>
          <w:cantSplit/>
          <w:trHeight w:hRule="exact" w:val="285"/>
        </w:trPr>
        <w:tc>
          <w:tcPr>
            <w:tcW w:w="43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Notes payable, net of current portion</w:t>
            </w:r>
          </w:p>
        </w:tc>
        <w:tc>
          <w:tcPr>
            <w:tcW w:w="19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322"/>
                <w:tab w:val="left" w:pos="1837"/>
              </w:tabs>
              <w:spacing w:before="53" w:after="30" w:line="240" w:lineRule="auto"/>
              <w:jc w:val="right"/>
            </w:pPr>
            <w:r>
              <w:rPr>
                <w:rFonts w:ascii="Times New Roman" w:eastAsia="Times New Roman" w:hAnsi="Times New Roman" w:cs="Times New Roman"/>
                <w:b w:val="0"/>
                <w:i w:val="0"/>
                <w:color w:val="000000"/>
                <w:sz w:val="20"/>
                <w:u w:val="none"/>
              </w:rPr>
              <w:tab/>
              <w:t>7,365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36"/>
              </w:tabs>
              <w:spacing w:before="53" w:after="30" w:line="240" w:lineRule="auto"/>
              <w:jc w:val="right"/>
            </w:pPr>
            <w:r>
              <w:rPr>
                <w:rFonts w:ascii="Times New Roman" w:eastAsia="Times New Roman" w:hAnsi="Times New Roman" w:cs="Times New Roman"/>
                <w:b w:val="0"/>
                <w:i w:val="0"/>
                <w:color w:val="000000"/>
                <w:sz w:val="20"/>
                <w:u w:val="none"/>
              </w:rPr>
              <w:tab/>
              <w:t>(1,656)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322"/>
                <w:tab w:val="left" w:pos="1837"/>
              </w:tabs>
              <w:spacing w:before="53" w:after="30" w:line="240" w:lineRule="auto"/>
              <w:jc w:val="right"/>
            </w:pPr>
            <w:r>
              <w:rPr>
                <w:rFonts w:ascii="Times New Roman" w:eastAsia="Times New Roman" w:hAnsi="Times New Roman" w:cs="Times New Roman"/>
                <w:b w:val="0"/>
                <w:i w:val="0"/>
                <w:color w:val="000000"/>
                <w:sz w:val="20"/>
                <w:u w:val="none"/>
              </w:rPr>
              <w:tab/>
              <w:t>5,709</w:t>
              <w:tab/>
            </w:r>
          </w:p>
        </w:tc>
      </w:tr>
      <w:tr>
        <w:tblPrEx>
          <w:tblW w:w="10260" w:type="dxa"/>
          <w:tblInd w:w="0" w:type="dxa"/>
          <w:tblLayout w:type="fixed"/>
        </w:tblPrEx>
        <w:trPr>
          <w:cantSplit/>
          <w:trHeight w:hRule="exact" w:val="285"/>
        </w:trPr>
        <w:tc>
          <w:tcPr>
            <w:tcW w:w="439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9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222"/>
                <w:tab w:val="left" w:pos="1837"/>
              </w:tabs>
              <w:spacing w:before="33" w:after="30" w:line="240" w:lineRule="auto"/>
              <w:jc w:val="right"/>
            </w:pPr>
            <w:r>
              <w:rPr>
                <w:rFonts w:ascii="Times New Roman" w:eastAsia="Times New Roman" w:hAnsi="Times New Roman" w:cs="Times New Roman"/>
                <w:b w:val="0"/>
                <w:i w:val="0"/>
                <w:color w:val="000000"/>
                <w:sz w:val="20"/>
                <w:u w:val="none"/>
              </w:rPr>
              <w:t>$</w:t>
              <w:tab/>
              <w:t>14,943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9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236"/>
              </w:tabs>
              <w:spacing w:before="33" w:after="30" w:line="240" w:lineRule="auto"/>
              <w:jc w:val="right"/>
            </w:pPr>
            <w:r>
              <w:rPr>
                <w:rFonts w:ascii="Times New Roman" w:eastAsia="Times New Roman" w:hAnsi="Times New Roman" w:cs="Times New Roman"/>
                <w:b w:val="0"/>
                <w:i w:val="0"/>
                <w:color w:val="000000"/>
                <w:sz w:val="20"/>
                <w:u w:val="none"/>
              </w:rPr>
              <w:t>$</w:t>
              <w:tab/>
              <w:t>(2,226)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9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222"/>
                <w:tab w:val="left" w:pos="1837"/>
              </w:tabs>
              <w:spacing w:before="33" w:after="30" w:line="240" w:lineRule="auto"/>
              <w:jc w:val="right"/>
            </w:pPr>
            <w:r>
              <w:rPr>
                <w:rFonts w:ascii="Times New Roman" w:eastAsia="Times New Roman" w:hAnsi="Times New Roman" w:cs="Times New Roman"/>
                <w:b w:val="0"/>
                <w:i w:val="0"/>
                <w:color w:val="000000"/>
                <w:sz w:val="20"/>
                <w:u w:val="none"/>
              </w:rPr>
              <w:t>$</w:t>
              <w:tab/>
              <w:t>12,717</w:t>
              <w:tab/>
            </w:r>
          </w:p>
        </w:tc>
      </w:tr>
    </w:tbl>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18"/>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the future principal payments related to our outstanding debt as of December 31, 2025 (in thousands):</w:t>
      </w:r>
    </w:p>
    <w:tbl>
      <w:tblPr>
        <w:tblW w:w="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485"/>
      </w:tblGrid>
      <w:tr>
        <w:tblPrEx>
          <w:tblW w:w="6270" w:type="dxa"/>
          <w:tblLayout w:type="fixed"/>
        </w:tblPrEx>
        <w:trPr>
          <w:cantSplit/>
          <w:trHeight w:hRule="exact" w:val="300"/>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2026</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4,834</w:t>
              <w:tab/>
            </w:r>
          </w:p>
        </w:tc>
      </w:tr>
      <w:tr>
        <w:tblPrEx>
          <w:tblW w:w="6270" w:type="dxa"/>
          <w:tblLayout w:type="fixed"/>
        </w:tblPrEx>
        <w:trPr>
          <w:cantSplit/>
          <w:trHeight w:hRule="exact" w:val="300"/>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2027</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4,941</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2028</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2029</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46,000</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2030</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15,000</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70,775</w:t>
              <w:tab/>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color w:val="000000"/>
          <w:sz w:val="20"/>
          <w:highlight w:val="white"/>
          <w:u w:val="none"/>
        </w:rPr>
      </w:pPr>
      <w:r>
        <w:rPr>
          <w:rFonts w:ascii="Times New Roman" w:eastAsia="Times New Roman" w:hAnsi="Times New Roman" w:cs="Times New Roman"/>
          <w:b w:val="0"/>
          <w:i/>
          <w:color w:val="000000"/>
          <w:sz w:val="20"/>
          <w:highlight w:val="white"/>
          <w:u w:val="none"/>
        </w:rPr>
        <w:t>Notes Payable - Acquisitions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highlight w:val="white"/>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 xml:space="preserve">As of </w:t>
      </w:r>
      <w:r>
        <w:rPr>
          <w:rFonts w:ascii="Times New Roman" w:eastAsia="Times New Roman" w:hAnsi="Times New Roman" w:cs="Times New Roman"/>
          <w:b w:val="0"/>
          <w:i w:val="0"/>
          <w:color w:val="000000"/>
          <w:sz w:val="20"/>
          <w:u w:val="none"/>
        </w:rPr>
        <w:t>December 31, 2025, we have eight outstanding subordinated promissory notes related to acquisitions that occurred during the year ended December 31, 2025 and prior years with a combined outstanding principal balance of $10,775 and maturity dates ranging from August 1, 2026 to July 1, 2029. See Note 2 — Business Combinations and Asset Acquisitions for further discussion regarding the issuance of notes payable related to acquisitions.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On August 13, 2025, we prepaid the outstanding balance on one of our acquisition-related promissory notes through the issuance of shares of our common stock. Prior to extinguishment, the promissory note had an outstanding principal balance of $1,000 and would mature on </w:t>
      </w:r>
      <w:r>
        <w:rPr>
          <w:rFonts w:ascii="Times New Roman" w:eastAsia="Times New Roman" w:hAnsi="Times New Roman" w:cs="Times New Roman"/>
          <w:b w:val="0"/>
          <w:i w:val="0"/>
          <w:color w:val="000000"/>
          <w:sz w:val="20"/>
          <w:u w:val="none"/>
        </w:rPr>
        <w:t>February 22, 2026</w:t>
      </w:r>
      <w:r>
        <w:rPr>
          <w:rFonts w:ascii="Times New Roman" w:eastAsia="Times New Roman" w:hAnsi="Times New Roman" w:cs="Times New Roman"/>
          <w:b w:val="0"/>
          <w:i w:val="0"/>
          <w:color w:val="000000"/>
          <w:sz w:val="20"/>
          <w:u w:val="none"/>
        </w:rPr>
        <w:t xml:space="preserve">. In connection with the extinguishment, the principal balance of the note was reduced by </w:t>
      </w:r>
      <w:r>
        <w:rPr>
          <w:rFonts w:ascii="Times New Roman" w:eastAsia="Times New Roman" w:hAnsi="Times New Roman" w:cs="Times New Roman"/>
          <w:b w:val="0"/>
          <w:i w:val="0"/>
          <w:color w:val="000000"/>
          <w:sz w:val="20"/>
          <w:u w:val="none"/>
        </w:rPr>
        <w:t>$118</w:t>
      </w:r>
      <w:r>
        <w:rPr>
          <w:rFonts w:ascii="Times New Roman" w:eastAsia="Times New Roman" w:hAnsi="Times New Roman" w:cs="Times New Roman"/>
          <w:b w:val="0"/>
          <w:i w:val="0"/>
          <w:color w:val="000000"/>
          <w:sz w:val="20"/>
          <w:u w:val="none"/>
        </w:rPr>
        <w:t xml:space="preserve"> for indemnifiable claims related to the acquisition. The remaining </w:t>
      </w:r>
      <w:r>
        <w:rPr>
          <w:rFonts w:ascii="Times New Roman" w:eastAsia="Times New Roman" w:hAnsi="Times New Roman" w:cs="Times New Roman"/>
          <w:b w:val="0"/>
          <w:i w:val="0"/>
          <w:color w:val="000000"/>
          <w:sz w:val="20"/>
          <w:u w:val="none"/>
        </w:rPr>
        <w:t>$956</w:t>
      </w:r>
      <w:r>
        <w:rPr>
          <w:rFonts w:ascii="Times New Roman" w:eastAsia="Times New Roman" w:hAnsi="Times New Roman" w:cs="Times New Roman"/>
          <w:b w:val="0"/>
          <w:i w:val="0"/>
          <w:color w:val="000000"/>
          <w:sz w:val="20"/>
          <w:u w:val="none"/>
        </w:rPr>
        <w:t xml:space="preserve"> of principal and accrued interest was repaid with 91 shares of common stock, having a fair value of $701.</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On </w:t>
      </w:r>
      <w:r>
        <w:rPr>
          <w:rFonts w:ascii="Times New Roman" w:eastAsia="Times New Roman" w:hAnsi="Times New Roman" w:cs="Times New Roman"/>
          <w:b w:val="0"/>
          <w:i w:val="0"/>
          <w:color w:val="000000"/>
          <w:sz w:val="20"/>
          <w:u w:val="none"/>
        </w:rPr>
        <w:t>October 30, 2025</w:t>
      </w:r>
      <w:r>
        <w:rPr>
          <w:rFonts w:ascii="Times New Roman" w:eastAsia="Times New Roman" w:hAnsi="Times New Roman" w:cs="Times New Roman"/>
          <w:b w:val="0"/>
          <w:i w:val="0"/>
          <w:color w:val="000000"/>
          <w:sz w:val="20"/>
          <w:u w:val="none"/>
        </w:rPr>
        <w:t xml:space="preserve">, we partially repaid the outstanding balance on one of our acquisition-related promissory notes through the issuance of shares of our common stock and cash payment of accrued interest. Prior to the transaction, the promissory note had an outstanding principal balance of </w:t>
      </w:r>
      <w:r>
        <w:rPr>
          <w:rFonts w:ascii="Times New Roman" w:eastAsia="Times New Roman" w:hAnsi="Times New Roman" w:cs="Times New Roman"/>
          <w:b w:val="0"/>
          <w:i w:val="0"/>
          <w:color w:val="000000"/>
          <w:sz w:val="20"/>
          <w:u w:val="none"/>
        </w:rPr>
        <w:t>$3,000</w:t>
      </w:r>
      <w:r>
        <w:rPr>
          <w:rFonts w:ascii="Times New Roman" w:eastAsia="Times New Roman" w:hAnsi="Times New Roman" w:cs="Times New Roman"/>
          <w:b w:val="0"/>
          <w:i w:val="0"/>
          <w:color w:val="000000"/>
          <w:sz w:val="20"/>
          <w:u w:val="none"/>
        </w:rPr>
        <w:t xml:space="preserve"> and would mature on </w:t>
      </w:r>
      <w:r>
        <w:rPr>
          <w:rFonts w:ascii="Times New Roman" w:eastAsia="Times New Roman" w:hAnsi="Times New Roman" w:cs="Times New Roman"/>
          <w:b w:val="0"/>
          <w:i w:val="0"/>
          <w:color w:val="000000"/>
          <w:sz w:val="20"/>
          <w:u w:val="none"/>
        </w:rPr>
        <w:t>July 1, 2029</w:t>
      </w:r>
      <w:r>
        <w:rPr>
          <w:rFonts w:ascii="Times New Roman" w:eastAsia="Times New Roman" w:hAnsi="Times New Roman" w:cs="Times New Roman"/>
          <w:b w:val="0"/>
          <w:i w:val="0"/>
          <w:color w:val="000000"/>
          <w:sz w:val="20"/>
          <w:u w:val="none"/>
        </w:rPr>
        <w:t xml:space="preserve">. In connection with the partial extinguishment, the holders of the promissory note agreed to reduce the principal balance of the portion of the note by </w:t>
      </w:r>
      <w:r>
        <w:rPr>
          <w:rFonts w:ascii="Times New Roman" w:eastAsia="Times New Roman" w:hAnsi="Times New Roman" w:cs="Times New Roman"/>
          <w:b w:val="0"/>
          <w:i w:val="0"/>
          <w:color w:val="000000"/>
          <w:sz w:val="20"/>
          <w:u w:val="none"/>
        </w:rPr>
        <w:t>$300</w:t>
      </w:r>
      <w:r>
        <w:rPr>
          <w:rFonts w:ascii="Times New Roman" w:eastAsia="Times New Roman" w:hAnsi="Times New Roman" w:cs="Times New Roman"/>
          <w:b w:val="0"/>
          <w:i w:val="0"/>
          <w:color w:val="000000"/>
          <w:sz w:val="20"/>
          <w:u w:val="none"/>
        </w:rPr>
        <w:t xml:space="preserve"> in consideration of the early repayment. The remaining </w:t>
      </w:r>
      <w:r>
        <w:rPr>
          <w:rFonts w:ascii="Times New Roman" w:eastAsia="Times New Roman" w:hAnsi="Times New Roman" w:cs="Times New Roman"/>
          <w:b w:val="0"/>
          <w:i w:val="0"/>
          <w:color w:val="000000"/>
          <w:sz w:val="20"/>
          <w:u w:val="none"/>
        </w:rPr>
        <w:t>$1,700</w:t>
      </w:r>
      <w:r>
        <w:rPr>
          <w:rFonts w:ascii="Times New Roman" w:eastAsia="Times New Roman" w:hAnsi="Times New Roman" w:cs="Times New Roman"/>
          <w:b w:val="0"/>
          <w:i w:val="0"/>
          <w:color w:val="000000"/>
          <w:sz w:val="20"/>
          <w:u w:val="none"/>
        </w:rPr>
        <w:t xml:space="preserve"> of principal was repaid with 201 shares of common stock, having an estimated fair value of </w:t>
      </w:r>
      <w:r>
        <w:rPr>
          <w:rFonts w:ascii="Times New Roman" w:eastAsia="Times New Roman" w:hAnsi="Times New Roman" w:cs="Times New Roman"/>
          <w:b w:val="0"/>
          <w:i w:val="0"/>
          <w:color w:val="000000"/>
          <w:sz w:val="20"/>
          <w:u w:val="none"/>
        </w:rPr>
        <w:t>$1,511</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$20</w:t>
      </w:r>
      <w:r>
        <w:rPr>
          <w:rFonts w:ascii="Times New Roman" w:eastAsia="Times New Roman" w:hAnsi="Times New Roman" w:cs="Times New Roman"/>
          <w:b w:val="0"/>
          <w:i w:val="0"/>
          <w:color w:val="000000"/>
          <w:sz w:val="20"/>
          <w:u w:val="none"/>
        </w:rPr>
        <w:t xml:space="preserve"> of accrued interest was paid with cash. After the partial extinguishment, the outstanding principal balance of the note is </w:t>
      </w:r>
      <w:r>
        <w:rPr>
          <w:rFonts w:ascii="Times New Roman" w:eastAsia="Times New Roman" w:hAnsi="Times New Roman" w:cs="Times New Roman"/>
          <w:b w:val="0"/>
          <w:i w:val="0"/>
          <w:color w:val="000000"/>
          <w:sz w:val="20"/>
          <w:u w:val="none"/>
        </w:rPr>
        <w:t>$1,000</w:t>
      </w:r>
      <w:r>
        <w:rPr>
          <w:rFonts w:ascii="Times New Roman" w:eastAsia="Times New Roman" w:hAnsi="Times New Roman" w:cs="Times New Roman"/>
          <w:b w:val="0"/>
          <w:i w:val="0"/>
          <w:color w:val="000000"/>
          <w:sz w:val="20"/>
          <w:u w:val="none"/>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color w:val="000000"/>
          <w:sz w:val="20"/>
          <w:u w:val="none"/>
        </w:rPr>
        <w:t>Notes Payable - Other</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val="0"/>
          <w:i w:val="0"/>
          <w:color w:val="000000"/>
          <w:sz w:val="20"/>
          <w:u w:val="none"/>
        </w:rPr>
        <w:t xml:space="preserve">In November 2024, we delivered a promissory note to an unrelated third party in exchange for cash. As of December 31, 2024, the promissory note had an outstanding principal balance of </w:t>
      </w:r>
      <w:r>
        <w:rPr>
          <w:rFonts w:ascii="Times New Roman" w:eastAsia="Times New Roman" w:hAnsi="Times New Roman" w:cs="Times New Roman"/>
          <w:b w:val="0"/>
          <w:i w:val="0"/>
          <w:color w:val="000000"/>
          <w:sz w:val="20"/>
          <w:u w:val="none"/>
        </w:rPr>
        <w:t>$5,000</w:t>
      </w:r>
      <w:r>
        <w:rPr>
          <w:rFonts w:ascii="Times New Roman" w:eastAsia="Times New Roman" w:hAnsi="Times New Roman" w:cs="Times New Roman"/>
          <w:b w:val="0"/>
          <w:i w:val="0"/>
          <w:color w:val="000000"/>
          <w:sz w:val="20"/>
          <w:u w:val="none"/>
        </w:rPr>
        <w:t xml:space="preserve"> and would mature on November 1, 2025. On April 10, 2025, we agreed to repay the outstanding balance on our unrelated third-party promissory note prior to its maturity using the proceeds of the Loan Agreement (described below). In connection with the extinguishment, we paid the lender an aggregate amount of </w:t>
      </w:r>
      <w:r>
        <w:rPr>
          <w:rFonts w:ascii="Times New Roman" w:eastAsia="Times New Roman" w:hAnsi="Times New Roman" w:cs="Times New Roman"/>
          <w:b w:val="0"/>
          <w:i w:val="0"/>
          <w:color w:val="000000"/>
          <w:sz w:val="20"/>
          <w:u w:val="none"/>
        </w:rPr>
        <w:t>$5,197</w:t>
      </w:r>
      <w:r>
        <w:rPr>
          <w:rFonts w:ascii="Times New Roman" w:eastAsia="Times New Roman" w:hAnsi="Times New Roman" w:cs="Times New Roman"/>
          <w:b w:val="0"/>
          <w:i w:val="0"/>
          <w:color w:val="000000"/>
          <w:sz w:val="20"/>
          <w:u w:val="none"/>
        </w:rPr>
        <w:t xml:space="preserve"> (the “Payoff Amount”) in full payment of our outstanding obligations under the Note. The Payoff Amount represented </w:t>
      </w:r>
      <w:r>
        <w:rPr>
          <w:rFonts w:ascii="Times New Roman" w:eastAsia="Times New Roman" w:hAnsi="Times New Roman" w:cs="Times New Roman"/>
          <w:b w:val="0"/>
          <w:i w:val="0"/>
          <w:color w:val="000000"/>
          <w:sz w:val="20"/>
          <w:u w:val="none"/>
        </w:rPr>
        <w:t>$5,097</w:t>
      </w:r>
      <w:r>
        <w:rPr>
          <w:rFonts w:ascii="Times New Roman" w:eastAsia="Times New Roman" w:hAnsi="Times New Roman" w:cs="Times New Roman"/>
          <w:b w:val="0"/>
          <w:i w:val="0"/>
          <w:color w:val="000000"/>
          <w:sz w:val="20"/>
          <w:u w:val="none"/>
        </w:rPr>
        <w:t xml:space="preserve"> of outstanding principal and interest on the unpaid principal balance and a </w:t>
      </w:r>
      <w:r>
        <w:rPr>
          <w:rFonts w:ascii="Times New Roman" w:eastAsia="Times New Roman" w:hAnsi="Times New Roman" w:cs="Times New Roman"/>
          <w:b w:val="0"/>
          <w:i w:val="0"/>
          <w:color w:val="000000"/>
          <w:sz w:val="20"/>
          <w:u w:val="none"/>
        </w:rPr>
        <w:t>$100</w:t>
      </w:r>
      <w:r>
        <w:rPr>
          <w:rFonts w:ascii="Times New Roman" w:eastAsia="Times New Roman" w:hAnsi="Times New Roman" w:cs="Times New Roman"/>
          <w:b w:val="0"/>
          <w:i w:val="0"/>
          <w:color w:val="000000"/>
          <w:sz w:val="20"/>
          <w:u w:val="none"/>
        </w:rPr>
        <w:t xml:space="preserve"> prepayment fee.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p>
    <w:p>
      <w:pPr>
        <w:keepNext w:val="0"/>
        <w:keepLines/>
        <w:pageBreakBefore/>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color w:val="000000"/>
          <w:sz w:val="20"/>
          <w:u w:val="none"/>
        </w:rPr>
        <w:t>Senior</w:t>
      </w:r>
      <w:r>
        <w:rPr>
          <w:rFonts w:ascii="Times New Roman" w:eastAsia="Times New Roman" w:hAnsi="Times New Roman" w:cs="Times New Roman"/>
          <w:b w:val="0"/>
          <w:i/>
          <w:color w:val="000000"/>
          <w:sz w:val="20"/>
          <w:u w:val="none"/>
        </w:rPr>
        <w:t xml:space="preserve"> Credit Facility</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u w:val="none"/>
        </w:rPr>
        <w:t xml:space="preserve">On April 10, 2025, we entered into a Loan Agreement with MidCap Financial Trust (“MidCap”) and the lenders from time to time party thereto (such lenders collectively with MidCap, the “Lenders”). Under the Loan Agreement, we may borrow up to </w:t>
      </w:r>
      <w:r>
        <w:rPr>
          <w:rFonts w:ascii="Times New Roman" w:eastAsia="Times New Roman" w:hAnsi="Times New Roman" w:cs="Times New Roman"/>
          <w:b w:val="0"/>
          <w:i w:val="0"/>
          <w:color w:val="000000"/>
          <w:sz w:val="20"/>
          <w:u w:val="none"/>
        </w:rPr>
        <w:t>$60,000</w:t>
      </w:r>
      <w:r>
        <w:rPr>
          <w:rFonts w:ascii="Times New Roman" w:eastAsia="Times New Roman" w:hAnsi="Times New Roman" w:cs="Times New Roman"/>
          <w:b w:val="0"/>
          <w:i w:val="0"/>
          <w:color w:val="000000"/>
          <w:sz w:val="20"/>
          <w:u w:val="none"/>
        </w:rPr>
        <w:t xml:space="preserve"> from the Lenders, all of which has been funded as of December 31, 2025. The maturity date of the loan as provided under the Loan Agreement is April 1, 2030 (the “Maturity Date”).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Interest on the outstanding loan balance is payable monthly in arrears at an annual rate of Term Secured Overnight Financing Rate (“SOFR”) plus 5.00%, subject to a SOFR floor of 2.00%. This rate was 9.25% as of December 31, 2025. Prior to April 1, 2029 (the “Amortization Start Date”), we must make interest-only payments on the outstanding loan balance. Commencing on the Amortization Start Date and continuing on the first day of each calendar month thereafter, we will pay an amount equal to the total principal of the outstanding loan balance divided by twelve (12), for a twelve (12) month straight-line amortization of equal monthly principal payments. Also on a monthly basis, we must pay an administrative agency fee to MidCap equal to 0.25% of the average end-of-day principal balance outstanding during the immediately preceding month. At the time of final payment under the loan, we will provide a final payment fee of 2.00% of the amount advanced thereunder except in the case of a refinance of the loan with MidCap and the Lenders.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are subject to customary events of default as described in the Loan Agreement. In such event, and for so long as it continues, the outstanding loan balance will bear interest at 2.00% per annum in excess of the rate otherwise payable. The Loan Agreement is collateralized by substantially all of our assets except for all client funds balances and an amount of cash intended solely to cover employee wages, benefits, and taxes for a limited period. Under the Loan Agreement, we covenant to maintain a (1) Total Leverage Ratio (as defined in the Loan Agreement), as tested quarterly, no greater than 5.50 to 1.00, and (2) minimum liquidity threshold of </w:t>
      </w:r>
      <w:r>
        <w:rPr>
          <w:rFonts w:ascii="Times New Roman" w:eastAsia="Times New Roman" w:hAnsi="Times New Roman" w:cs="Times New Roman"/>
          <w:b w:val="0"/>
          <w:i w:val="0"/>
          <w:color w:val="000000"/>
          <w:sz w:val="20"/>
          <w:u w:val="none"/>
        </w:rPr>
        <w:t>$10,000</w:t>
      </w:r>
      <w:r>
        <w:rPr>
          <w:rFonts w:ascii="Times New Roman" w:eastAsia="Times New Roman" w:hAnsi="Times New Roman" w:cs="Times New Roman"/>
          <w:b w:val="0"/>
          <w:i w:val="0"/>
          <w:color w:val="000000"/>
          <w:sz w:val="20"/>
          <w:u w:val="none"/>
        </w:rPr>
        <w:t xml:space="preserve">. As of December 31, 2025, we are in compliance with all covenants under the Loan Agreement.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highlight w:val="white"/>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In connection with the Loan Agreement and subsequent draw, we incurred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of origination, legal, and other fees that represent debt financing costs to be deferred and amortized over the duration of the Loan Agreement. As a result, net proceeds of all borrowings under the Loan Agreement were </w:t>
      </w:r>
      <w:r>
        <w:rPr>
          <w:rFonts w:ascii="Times New Roman" w:eastAsia="Times New Roman" w:hAnsi="Times New Roman" w:cs="Times New Roman"/>
          <w:b w:val="0"/>
          <w:i w:val="0"/>
          <w:color w:val="000000"/>
          <w:sz w:val="20"/>
          <w:u w:val="none"/>
        </w:rPr>
        <w:t>$57,975</w:t>
      </w:r>
      <w:r>
        <w:rPr>
          <w:rFonts w:ascii="Times New Roman" w:eastAsia="Times New Roman" w:hAnsi="Times New Roman" w:cs="Times New Roman"/>
          <w:b w:val="0"/>
          <w:i w:val="0"/>
          <w:color w:val="000000"/>
          <w:sz w:val="20"/>
          <w:u w:val="none"/>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33" w:name="Section34"/>
      <w:bookmarkEnd w:id="33"/>
    </w:p>
    <w:p>
      <w:pPr>
        <w:keepNext/>
        <w:keepLines/>
        <w:pageBreakBefore w:val="0"/>
        <w:widowControl w:val="0"/>
        <w:numPr>
          <w:ilvl w:val="0"/>
          <w:numId w:val="0"/>
        </w:numPr>
        <w:spacing w:before="0" w:after="0" w:line="288" w:lineRule="auto"/>
        <w:ind w:left="0" w:right="0" w:firstLine="0"/>
        <w:jc w:val="both"/>
        <w:outlineLvl w:val="3"/>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 xml:space="preserve">NOTE 7 - </w:t>
      </w:r>
      <w:r>
        <w:rPr>
          <w:rFonts w:ascii="Times New Roman" w:eastAsia="Times New Roman" w:hAnsi="Times New Roman" w:cs="Times New Roman"/>
          <w:b/>
          <w:i w:val="0"/>
          <w:color w:val="000000"/>
          <w:sz w:val="20"/>
          <w:highlight w:val="white"/>
          <w:u w:val="none"/>
        </w:rPr>
        <w:t>CONTRACTS WITH CUSTOMERS AND REVENUE CONCENTRATION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Receivables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Receivables from contracts with customers, net of allowance for credit losses of $7,206, were $15,859 at December 31, 2025. Receivables from contracts with customers, net of allowance for credit losses of $6,328, were $18,154 at December 31, 2024. We had a provision for expected losses of $1,122, write-offs charged against the allowance for credit losses of $666, and recoveries on previously written off receivables of $422 during the year ended December 31, 2025. We had a provision for expected losses of $46, write-offs charged against the allowance for credit losses of $68, and recoveries on previously written off receivables of $1,563 during the year ended </w:t>
      </w:r>
      <w:r>
        <w:rPr>
          <w:rFonts w:ascii="Times New Roman" w:eastAsia="Times New Roman" w:hAnsi="Times New Roman" w:cs="Times New Roman"/>
          <w:b w:val="0"/>
          <w:i w:val="0"/>
          <w:color w:val="000000"/>
          <w:sz w:val="20"/>
          <w:highlight w:val="white"/>
          <w:u w:val="none"/>
        </w:rPr>
        <w:t>December 31, 2024.</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highlight w:val="white"/>
          <w:u w:val="none"/>
        </w:rPr>
        <w:t>A</w:t>
      </w:r>
      <w:r>
        <w:rPr>
          <w:rFonts w:ascii="Times New Roman" w:eastAsia="Times New Roman" w:hAnsi="Times New Roman" w:cs="Times New Roman"/>
          <w:b w:val="0"/>
          <w:i w:val="0"/>
          <w:color w:val="000000"/>
          <w:sz w:val="20"/>
          <w:highlight w:val="white"/>
          <w:u w:val="none"/>
        </w:rPr>
        <w:t xml:space="preserve">s of December 31, 2025, we had one customer that accounted for </w:t>
      </w:r>
      <w:r>
        <w:rPr>
          <w:rFonts w:ascii="Times New Roman" w:eastAsia="Times New Roman" w:hAnsi="Times New Roman" w:cs="Times New Roman"/>
          <w:b w:val="0"/>
          <w:i w:val="0"/>
          <w:color w:val="000000"/>
          <w:sz w:val="20"/>
          <w:u w:val="none"/>
        </w:rPr>
        <w:t>$1,879</w:t>
      </w:r>
      <w:r>
        <w:rPr>
          <w:rFonts w:ascii="Times New Roman" w:eastAsia="Times New Roman" w:hAnsi="Times New Roman" w:cs="Times New Roman"/>
          <w:b w:val="0"/>
          <w:i w:val="0"/>
          <w:color w:val="000000"/>
          <w:sz w:val="20"/>
          <w:highlight w:val="white"/>
          <w:u w:val="none"/>
        </w:rPr>
        <w:t xml:space="preserve"> or </w:t>
      </w:r>
      <w:r>
        <w:rPr>
          <w:rFonts w:ascii="Times New Roman" w:eastAsia="Times New Roman" w:hAnsi="Times New Roman" w:cs="Times New Roman"/>
          <w:b w:val="0"/>
          <w:i w:val="0"/>
          <w:color w:val="000000"/>
          <w:sz w:val="20"/>
          <w:u w:val="none"/>
        </w:rPr>
        <w:t>13%</w:t>
      </w:r>
      <w:r>
        <w:rPr>
          <w:rFonts w:ascii="Times New Roman" w:eastAsia="Times New Roman" w:hAnsi="Times New Roman" w:cs="Times New Roman"/>
          <w:b w:val="0"/>
          <w:i w:val="0"/>
          <w:color w:val="000000"/>
          <w:sz w:val="20"/>
          <w:highlight w:val="white"/>
          <w:u w:val="none"/>
        </w:rPr>
        <w:t xml:space="preserve"> of our net accounts receivable balance. The receivable balance is not collateralized, and thus the entire </w:t>
      </w:r>
      <w:r>
        <w:rPr>
          <w:rFonts w:ascii="Times New Roman" w:eastAsia="Times New Roman" w:hAnsi="Times New Roman" w:cs="Times New Roman"/>
          <w:b w:val="0"/>
          <w:i w:val="0"/>
          <w:color w:val="000000"/>
          <w:sz w:val="20"/>
          <w:u w:val="none"/>
        </w:rPr>
        <w:t>$1,879 is at risk of loss.</w:t>
      </w:r>
      <w:r>
        <w:rPr>
          <w:rFonts w:ascii="Times New Roman" w:eastAsia="Times New Roman" w:hAnsi="Times New Roman" w:cs="Times New Roman"/>
          <w:b w:val="0"/>
          <w:i w:val="0"/>
          <w:color w:val="000000"/>
          <w:sz w:val="20"/>
          <w:highlight w:val="white"/>
          <w:u w:val="none"/>
        </w:rPr>
        <w:t xml:space="preserve"> No customers represented more than 10% of our net accounts receivable balance as of </w:t>
      </w:r>
      <w:r>
        <w:rPr>
          <w:rFonts w:ascii="Times New Roman" w:eastAsia="Times New Roman" w:hAnsi="Times New Roman" w:cs="Times New Roman"/>
          <w:b w:val="0"/>
          <w:i w:val="0"/>
          <w:color w:val="000000"/>
          <w:sz w:val="20"/>
          <w:u w:val="none"/>
        </w:rPr>
        <w:t xml:space="preserve">December 31, 2024.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Contract Assets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color w:val="000000"/>
          <w:sz w:val="20"/>
          <w:u w:val="none"/>
        </w:rPr>
        <w:t>Costs to Fulfill Contracts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Contract assets from contracts with customers were $3,747 and $1,712 balance at December 31, 2025 and 2024, respectively.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val="0"/>
          <w:i/>
          <w:color w:val="000000"/>
          <w:sz w:val="20"/>
          <w:u w:val="none"/>
        </w:rPr>
        <w:t>Costs to Obtain Contracts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Deferred commission costs from contracts with customers were $14,721 and $12,351 at December 31, 2025 and 2024, respectively. The increase is primarily due to higher commissions and related costs to obtain contracts with customers. The amount of amortization recognized for the years ended December 31, 2025 and 2024, was $3,285 and $2,568, respectively.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Deferred Revenue</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 xml:space="preserve">During the years ended December 31, 2025 and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color w:val="000000"/>
          <w:sz w:val="20"/>
          <w:highlight w:val="white"/>
          <w:u w:val="none"/>
        </w:rPr>
        <w:t xml:space="preserve">, revenue of $11,649 and $6,626, respectively, was recognized from the deferred revenue balance at the beginning of each period. During the </w:t>
      </w:r>
      <w:r>
        <w:rPr>
          <w:rFonts w:ascii="Times New Roman" w:eastAsia="Times New Roman" w:hAnsi="Times New Roman" w:cs="Times New Roman"/>
          <w:b w:val="0"/>
          <w:i w:val="0"/>
          <w:color w:val="000000"/>
          <w:sz w:val="20"/>
          <w:u w:val="none"/>
        </w:rPr>
        <w:t>year ended December 31, 2024, various multi-year arrangements were finalized towards the end of the year, which is the primary driver of the increase in the amounts recognized from deferred revenue during the year ended December 31, 2025, compared to the year ended December 31, 2024.</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Transaction Price Allocated to the Remaining Performance Obligations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As of December 31, 2025, approximately $99,654 of revenue is expected to be recognized from remaining performance obligations that are originally expected to last longer than a year. We expect to recognize revenue on approximately 41% of these remaining performance obligations over the next </w:t>
      </w:r>
      <w:r>
        <w:rPr>
          <w:rFonts w:ascii="Times New Roman" w:eastAsia="Times New Roman" w:hAnsi="Times New Roman" w:cs="Times New Roman"/>
          <w:b w:val="0"/>
          <w:i w:val="0"/>
          <w:color w:val="000000"/>
          <w:sz w:val="20"/>
          <w:u w:val="none"/>
        </w:rPr>
        <w:t>12 months</w:t>
      </w:r>
      <w:r>
        <w:rPr>
          <w:rFonts w:ascii="Times New Roman" w:eastAsia="Times New Roman" w:hAnsi="Times New Roman" w:cs="Times New Roman"/>
          <w:b w:val="0"/>
          <w:i w:val="0"/>
          <w:color w:val="000000"/>
          <w:sz w:val="20"/>
          <w:u w:val="none"/>
        </w:rPr>
        <w:t>, with the balance recognized thereafter.</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Revenue Concentration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During the years ended December 31, 2025 and 2024, there were no customers that individually represented 10% or more of consolidated revenue.</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34" w:name="Section35"/>
      <w:bookmarkEnd w:id="34"/>
    </w:p>
    <w:p>
      <w:pPr>
        <w:keepNext/>
        <w:keepLines/>
        <w:pageBreakBefore w:val="0"/>
        <w:widowControl w:val="0"/>
        <w:numPr>
          <w:ilvl w:val="0"/>
          <w:numId w:val="0"/>
        </w:numPr>
        <w:spacing w:before="0" w:after="0" w:line="288" w:lineRule="auto"/>
        <w:ind w:left="0" w:right="0" w:firstLine="0"/>
        <w:jc w:val="both"/>
        <w:outlineLvl w:val="3"/>
        <w:rPr>
          <w:rFonts w:ascii="Times New Roman" w:eastAsia="Times New Roman" w:hAnsi="Times New Roman" w:cs="Times New Roman"/>
          <w:b/>
          <w:i w:val="0"/>
          <w:sz w:val="20"/>
        </w:rPr>
      </w:pPr>
      <w:r>
        <w:rPr>
          <w:rFonts w:ascii="Times New Roman" w:eastAsia="Times New Roman" w:hAnsi="Times New Roman" w:cs="Times New Roman"/>
          <w:b/>
          <w:i w:val="0"/>
          <w:color w:val="000000"/>
          <w:sz w:val="20"/>
          <w:u w:val="none"/>
        </w:rPr>
        <w:t xml:space="preserve">NOTE 8 - </w:t>
      </w:r>
      <w:r>
        <w:rPr>
          <w:rFonts w:ascii="Times New Roman" w:eastAsia="Times New Roman" w:hAnsi="Times New Roman" w:cs="Times New Roman"/>
          <w:b/>
          <w:i w:val="0"/>
          <w:color w:val="000000"/>
          <w:sz w:val="20"/>
          <w:u w:val="none"/>
        </w:rPr>
        <w:t>COMMITMENTS AND CONTINGENCIES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color w:val="000000"/>
          <w:sz w:val="20"/>
          <w:u w:val="none"/>
        </w:rPr>
        <w:t>Lease Commitments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We have entered into office space lease agreements, which qualify as operating leases under ASU No. 2016-02, “Leases (Topic 842)”. Under such leases, we have commitments to pay annual minimum (base) rent. The leases have original terms (excluding extension options) ranging from </w:t>
      </w:r>
      <w:r>
        <w:rPr>
          <w:rFonts w:ascii="Times New Roman" w:eastAsia="Times New Roman" w:hAnsi="Times New Roman" w:cs="Times New Roman"/>
          <w:b w:val="0"/>
          <w:i w:val="0"/>
          <w:color w:val="000000"/>
          <w:sz w:val="20"/>
          <w:u w:val="none"/>
        </w:rPr>
        <w:t>one</w:t>
      </w:r>
      <w:r>
        <w:rPr>
          <w:rFonts w:ascii="Times New Roman" w:eastAsia="Times New Roman" w:hAnsi="Times New Roman" w:cs="Times New Roman"/>
          <w:b w:val="0"/>
          <w:i w:val="0"/>
          <w:color w:val="000000"/>
          <w:sz w:val="20"/>
          <w:u w:val="none"/>
        </w:rPr>
        <w:t> to </w:t>
      </w:r>
      <w:r>
        <w:rPr>
          <w:rFonts w:ascii="Times New Roman" w:eastAsia="Times New Roman" w:hAnsi="Times New Roman" w:cs="Times New Roman"/>
          <w:b w:val="0"/>
          <w:i w:val="0"/>
          <w:color w:val="000000"/>
          <w:sz w:val="20"/>
          <w:u w:val="none"/>
        </w:rPr>
        <w:t>ten years</w:t>
      </w:r>
      <w:r>
        <w:rPr>
          <w:rFonts w:ascii="Times New Roman" w:eastAsia="Times New Roman" w:hAnsi="Times New Roman" w:cs="Times New Roman"/>
          <w:b w:val="0"/>
          <w:i w:val="0"/>
          <w:color w:val="000000"/>
          <w:sz w:val="20"/>
          <w:u w:val="none"/>
        </w:rPr>
        <w:t xml:space="preserve">. Our lease agreements do not contain any material residual value guarantees or material restrictive covenants. We record base rent expense under the straight-line method over the term of the lease. In the accompanying Consolidated Statements of Comprehensive Loss, rent expense is included in operating expenses under general and administrative expenses. </w:t>
      </w:r>
    </w:p>
    <w:p>
      <w:pPr>
        <w:keepNext w:val="0"/>
        <w:keepLines/>
        <w:pageBreakBefore w:val="0"/>
        <w:widowControl w:val="0"/>
        <w:numPr>
          <w:ilvl w:val="0"/>
          <w:numId w:val="0"/>
        </w:numPr>
        <w:spacing w:before="0" w:after="0" w:line="288" w:lineRule="auto"/>
        <w:ind w:left="0" w:right="0" w:firstLine="675"/>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675"/>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We have entered into a software license agreement, which qualifies as a finance lease under ASC 842 (“Leases”). Under this lease, the lessor receives fixed payments over a period of </w:t>
      </w:r>
      <w:r>
        <w:rPr>
          <w:rFonts w:ascii="Times New Roman" w:eastAsia="Times New Roman" w:hAnsi="Times New Roman" w:cs="Times New Roman"/>
          <w:b w:val="0"/>
          <w:i w:val="0"/>
          <w:color w:val="000000"/>
          <w:sz w:val="20"/>
          <w:u w:val="none"/>
        </w:rPr>
        <w:t>four years</w:t>
      </w:r>
      <w:r>
        <w:rPr>
          <w:rFonts w:ascii="Times New Roman" w:eastAsia="Times New Roman" w:hAnsi="Times New Roman" w:cs="Times New Roman"/>
          <w:b w:val="0"/>
          <w:i w:val="0"/>
          <w:color w:val="000000"/>
          <w:sz w:val="20"/>
          <w:u w:val="none"/>
        </w:rPr>
        <w:t xml:space="preserve">, after which we take ownership of the software and source code. The resulting software asset is included in </w:t>
      </w:r>
      <w:r>
        <w:rPr>
          <w:rFonts w:ascii="Times New Roman" w:eastAsia="Times New Roman" w:hAnsi="Times New Roman" w:cs="Times New Roman"/>
          <w:b w:val="0"/>
          <w:i w:val="0"/>
          <w:color w:val="000000"/>
          <w:sz w:val="20"/>
          <w:u w:val="none"/>
        </w:rPr>
        <w:t>property and equipment, net</w:t>
      </w:r>
      <w:r>
        <w:rPr>
          <w:rFonts w:ascii="Times New Roman" w:eastAsia="Times New Roman" w:hAnsi="Times New Roman" w:cs="Times New Roman"/>
          <w:b w:val="0"/>
          <w:i w:val="0"/>
          <w:color w:val="000000"/>
          <w:sz w:val="20"/>
          <w:u w:val="none"/>
        </w:rPr>
        <w:t>, in the accompanying Consolidated Balance Sheets. We record amortization for the related asset over its useful life on a straight-line basis and recognize interest expense under the effective interest method over the term of the lease. In the accompanying Consolidated Statements of Comprehensive Loss, these expenses are included in general and administrative expenses and interest expense, respectively.</w:t>
      </w:r>
    </w:p>
    <w:p>
      <w:pPr>
        <w:keepNext w:val="0"/>
        <w:keepLines/>
        <w:pageBreakBefore w:val="0"/>
        <w:widowControl w:val="0"/>
        <w:numPr>
          <w:ilvl w:val="0"/>
          <w:numId w:val="0"/>
        </w:numPr>
        <w:spacing w:before="0" w:after="0" w:line="288" w:lineRule="auto"/>
        <w:ind w:left="0" w:right="0" w:firstLine="675"/>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The components of the lease-related expenses for the years ended December 31, 2025 and 2024, are as follows (in thousands):</w:t>
      </w: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485"/>
        <w:gridCol w:w="75"/>
        <w:gridCol w:w="1485"/>
      </w:tblGrid>
      <w:tr>
        <w:tblPrEx>
          <w:tblW w:w="7830" w:type="dxa"/>
          <w:tblLayout w:type="fixed"/>
        </w:tblPrEx>
        <w:trPr>
          <w:cantSplit/>
          <w:trHeight w:hRule="exact" w:val="285"/>
        </w:trPr>
        <w:tc>
          <w:tcPr>
            <w:tcW w:w="47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2024</w:t>
            </w:r>
          </w:p>
        </w:tc>
      </w:tr>
      <w:tr>
        <w:tblPrEx>
          <w:tblW w:w="783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Operating lease cost:</w:t>
            </w: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783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Rent expense</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2,262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1,948</w:t>
              <w:tab/>
            </w:r>
          </w:p>
        </w:tc>
      </w:tr>
      <w:tr>
        <w:tblPrEx>
          <w:tblW w:w="783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Sublease income</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66"/>
              </w:tabs>
              <w:spacing w:before="53" w:after="30" w:line="240" w:lineRule="auto"/>
              <w:jc w:val="right"/>
            </w:pPr>
            <w:r>
              <w:rPr>
                <w:rFonts w:ascii="Times New Roman" w:eastAsia="Times New Roman" w:hAnsi="Times New Roman" w:cs="Times New Roman"/>
                <w:b w:val="0"/>
                <w:i w:val="0"/>
                <w:color w:val="000000"/>
                <w:sz w:val="20"/>
                <w:u w:val="none"/>
              </w:rPr>
              <w:tab/>
              <w:t>(4)</w:t>
            </w:r>
          </w:p>
        </w:tc>
      </w:tr>
      <w:tr>
        <w:tblPrEx>
          <w:tblW w:w="783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operating lease cost</w:t>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2,262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1,944</w:t>
              <w:tab/>
            </w:r>
          </w:p>
        </w:tc>
      </w:tr>
      <w:tr>
        <w:tblPrEx>
          <w:tblW w:w="7830" w:type="dxa"/>
          <w:tblLayout w:type="fixed"/>
        </w:tblPrEx>
        <w:trPr>
          <w:cantSplit/>
          <w:trHeight w:hRule="exact" w:val="285"/>
        </w:trPr>
        <w:tc>
          <w:tcPr>
            <w:tcW w:w="47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783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Finance lease cost:</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783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Amortization of assets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r>
      <w:tr>
        <w:tblPrEx>
          <w:tblW w:w="783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Interest on lease liabilities</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10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783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 finance lease cost</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1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1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w:t>
              <w:tab/>
            </w:r>
          </w:p>
        </w:tc>
      </w:tr>
    </w:tbl>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For purposes of calculating the operating lease assets and lease liabilities, extension options are not included in the lease term unless it is reasonably certain we will exercise the option, or the lessor has the sole ability to exercise the option. The weighted average discount rate of our operating leases is 10% as of December 31, 2025 and 2024. The weighted average remaining lease term four our operating leases is three years and four years as of December 31, 2025 and 2024, respectively.</w:t>
      </w:r>
      <w:r>
        <w:rPr>
          <w:rFonts w:ascii="Times New Roman" w:eastAsia="Times New Roman" w:hAnsi="Times New Roman" w:cs="Times New Roman"/>
          <w:b w:val="0"/>
          <w:i w:val="0"/>
          <w:color w:val="000000"/>
          <w:sz w:val="20"/>
          <w:highlight w:val="white"/>
          <w:u w:val="none"/>
        </w:rPr>
        <w:t xml:space="preserve"> The discount rate of our finance lease is </w:t>
      </w:r>
      <w:r>
        <w:rPr>
          <w:rFonts w:ascii="Times New Roman" w:eastAsia="Times New Roman" w:hAnsi="Times New Roman" w:cs="Times New Roman"/>
          <w:b w:val="0"/>
          <w:i w:val="0"/>
          <w:color w:val="000000"/>
          <w:sz w:val="20"/>
          <w:u w:val="none"/>
        </w:rPr>
        <w:t>11% as of December 31, 2025</w:t>
      </w:r>
      <w:r>
        <w:rPr>
          <w:rFonts w:ascii="Times New Roman" w:eastAsia="Times New Roman" w:hAnsi="Times New Roman" w:cs="Times New Roman"/>
          <w:b w:val="0"/>
          <w:i w:val="0"/>
          <w:color w:val="000000"/>
          <w:sz w:val="20"/>
          <w:highlight w:val="white"/>
          <w:u w:val="none"/>
        </w:rPr>
        <w:t xml:space="preserve">. The remaining lease term for our finance lease is </w:t>
      </w:r>
      <w:r>
        <w:rPr>
          <w:rFonts w:ascii="Times New Roman" w:eastAsia="Times New Roman" w:hAnsi="Times New Roman" w:cs="Times New Roman"/>
          <w:b w:val="0"/>
          <w:i w:val="0"/>
          <w:color w:val="000000"/>
          <w:sz w:val="20"/>
          <w:u w:val="none"/>
        </w:rPr>
        <w:t>four years</w:t>
      </w:r>
      <w:r>
        <w:rPr>
          <w:rFonts w:ascii="Times New Roman" w:eastAsia="Times New Roman" w:hAnsi="Times New Roman" w:cs="Times New Roman"/>
          <w:b w:val="0"/>
          <w:i w:val="0"/>
          <w:color w:val="000000"/>
          <w:sz w:val="20"/>
          <w:u w:val="none"/>
        </w:rPr>
        <w:t xml:space="preserve"> as of </w:t>
      </w:r>
      <w:r>
        <w:rPr>
          <w:rFonts w:ascii="Times New Roman" w:eastAsia="Times New Roman" w:hAnsi="Times New Roman" w:cs="Times New Roman"/>
          <w:b w:val="0"/>
          <w:i w:val="0"/>
          <w:color w:val="000000"/>
          <w:sz w:val="20"/>
          <w:u w:val="none"/>
        </w:rPr>
        <w:t>December 31, 2025.</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Supplemental cash flow information related to leases for the years ended December 31, 2025 and 2024, are as follows (in thousands):</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035"/>
        <w:gridCol w:w="1575"/>
        <w:gridCol w:w="75"/>
        <w:gridCol w:w="1575"/>
      </w:tblGrid>
      <w:tr>
        <w:tblPrEx>
          <w:tblW w:w="10260" w:type="dxa"/>
          <w:tblInd w:w="0" w:type="dxa"/>
          <w:tblLayout w:type="fixed"/>
        </w:tblPrEx>
        <w:trPr>
          <w:cantSplit/>
          <w:trHeight w:hRule="exact" w:val="285"/>
        </w:trPr>
        <w:tc>
          <w:tcPr>
            <w:tcW w:w="703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157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2024</w:t>
            </w:r>
          </w:p>
        </w:tc>
      </w:tr>
      <w:tr>
        <w:tblPrEx>
          <w:tblW w:w="10260" w:type="dxa"/>
          <w:tblInd w:w="0" w:type="dxa"/>
          <w:tblLayout w:type="fixed"/>
        </w:tblPrEx>
        <w:trPr>
          <w:cantSplit/>
          <w:trHeight w:hRule="exact" w:val="285"/>
        </w:trPr>
        <w:tc>
          <w:tcPr>
            <w:tcW w:w="703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Cash paid for amounts included in the measurement of operating lease liabilities:</w:t>
            </w:r>
          </w:p>
        </w:tc>
        <w:tc>
          <w:tcPr>
            <w:tcW w:w="157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r>
      <w:tr>
        <w:tblPrEx>
          <w:tblW w:w="10260" w:type="dxa"/>
          <w:tblInd w:w="0" w:type="dxa"/>
          <w:tblLayout w:type="fixed"/>
        </w:tblPrEx>
        <w:trPr>
          <w:cantSplit/>
          <w:trHeight w:hRule="exact" w:val="285"/>
        </w:trPr>
        <w:tc>
          <w:tcPr>
            <w:tcW w:w="703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Operating cash outflows from operating leases</w:t>
            </w: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2,265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2,106</w:t>
              <w:tab/>
            </w:r>
          </w:p>
        </w:tc>
      </w:tr>
      <w:tr>
        <w:tblPrEx>
          <w:tblW w:w="10260" w:type="dxa"/>
          <w:tblInd w:w="0" w:type="dxa"/>
          <w:tblLayout w:type="fixed"/>
        </w:tblPrEx>
        <w:trPr>
          <w:cantSplit/>
          <w:trHeight w:hRule="exact" w:val="285"/>
        </w:trPr>
        <w:tc>
          <w:tcPr>
            <w:tcW w:w="703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Non-cash activities:</w:t>
            </w:r>
          </w:p>
        </w:tc>
        <w:tc>
          <w:tcPr>
            <w:tcW w:w="1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465"/>
        </w:trPr>
        <w:tc>
          <w:tcPr>
            <w:tcW w:w="703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Operating lease assets obtained or removed in exchange for new, modified or terminated operating lease liabilities</w:t>
            </w: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3,547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419</w:t>
              <w:tab/>
            </w:r>
          </w:p>
        </w:tc>
      </w:tr>
      <w:tr>
        <w:tblPrEx>
          <w:tblW w:w="10260" w:type="dxa"/>
          <w:tblInd w:w="0" w:type="dxa"/>
          <w:tblLayout w:type="fixed"/>
        </w:tblPrEx>
        <w:trPr>
          <w:cantSplit/>
          <w:trHeight w:hRule="exact" w:val="465"/>
        </w:trPr>
        <w:tc>
          <w:tcPr>
            <w:tcW w:w="703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53" w:after="30" w:line="240" w:lineRule="auto"/>
              <w:ind w:left="135"/>
              <w:jc w:val="left"/>
            </w:pPr>
            <w:r>
              <w:rPr>
                <w:rFonts w:ascii="Times New Roman" w:eastAsia="Times New Roman" w:hAnsi="Times New Roman" w:cs="Times New Roman"/>
                <w:b w:val="0"/>
                <w:i w:val="0"/>
                <w:color w:val="000000"/>
                <w:sz w:val="20"/>
                <w:u w:val="none"/>
              </w:rPr>
              <w:t>Finance lease assets obtained or removed in exchange for new, modified, or terminated finance lease liabilities</w:t>
            </w: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284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w:t>
              <w:tab/>
            </w:r>
          </w:p>
        </w:tc>
      </w:tr>
    </w:tbl>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Future minimum commitments over the life of all operating and financing leases, which exclude variable rent payments, are as follows for the periods presented below (in thousands):</w:t>
      </w: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575"/>
        <w:gridCol w:w="75"/>
        <w:gridCol w:w="1575"/>
      </w:tblGrid>
      <w:tr>
        <w:tblPrEx>
          <w:tblW w:w="8010" w:type="dxa"/>
          <w:tblLayout w:type="fixed"/>
        </w:tblPrEx>
        <w:trPr>
          <w:cantSplit/>
          <w:trHeight w:hRule="exact" w:val="285"/>
        </w:trPr>
        <w:tc>
          <w:tcPr>
            <w:tcW w:w="47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spacing w:before="53" w:after="30" w:line="240" w:lineRule="auto"/>
              <w:jc w:val="right"/>
            </w:pPr>
            <w:r>
              <w:rPr>
                <w:rFonts w:ascii="Times New Roman" w:eastAsia="Times New Roman" w:hAnsi="Times New Roman" w:cs="Times New Roman"/>
                <w:b/>
                <w:i w:val="0"/>
                <w:color w:val="000000"/>
                <w:sz w:val="20"/>
                <w:u w:val="none"/>
              </w:rPr>
              <w:t>Operating Leases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shd w:val="clear" w:color="auto" w:fill="FFFFFF"/>
            <w:tcMar>
              <w:top w:w="0" w:type="dxa"/>
              <w:left w:w="53" w:type="dxa"/>
              <w:bottom w:w="0" w:type="dxa"/>
              <w:right w:w="15"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Finance Leases</w:t>
            </w:r>
          </w:p>
        </w:tc>
      </w:tr>
      <w:tr>
        <w:tblPrEx>
          <w:tblW w:w="801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2026</w:t>
            </w:r>
          </w:p>
        </w:tc>
        <w:tc>
          <w:tcPr>
            <w:tcW w:w="15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2,514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4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88</w:t>
              <w:tab/>
            </w:r>
          </w:p>
        </w:tc>
      </w:tr>
      <w:tr>
        <w:tblPrEx>
          <w:tblW w:w="801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2027</w:t>
            </w: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2"/>
                <w:tab w:val="left" w:pos="1507"/>
              </w:tabs>
              <w:spacing w:before="53" w:after="30" w:line="240" w:lineRule="auto"/>
              <w:jc w:val="right"/>
            </w:pPr>
            <w:r>
              <w:rPr>
                <w:rFonts w:ascii="Times New Roman" w:eastAsia="Times New Roman" w:hAnsi="Times New Roman" w:cs="Times New Roman"/>
                <w:b w:val="0"/>
                <w:i w:val="0"/>
                <w:color w:val="000000"/>
                <w:sz w:val="20"/>
                <w:u w:val="none"/>
              </w:rPr>
              <w:tab/>
              <w:t>2,376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88</w:t>
              <w:tab/>
            </w:r>
          </w:p>
        </w:tc>
      </w:tr>
      <w:tr>
        <w:tblPrEx>
          <w:tblW w:w="801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2028</w:t>
            </w: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2"/>
                <w:tab w:val="left" w:pos="1507"/>
              </w:tabs>
              <w:spacing w:before="53" w:after="30" w:line="240" w:lineRule="auto"/>
              <w:jc w:val="right"/>
            </w:pPr>
            <w:r>
              <w:rPr>
                <w:rFonts w:ascii="Times New Roman" w:eastAsia="Times New Roman" w:hAnsi="Times New Roman" w:cs="Times New Roman"/>
                <w:b w:val="0"/>
                <w:i w:val="0"/>
                <w:color w:val="000000"/>
                <w:sz w:val="20"/>
                <w:u w:val="none"/>
              </w:rPr>
              <w:tab/>
              <w:t>2,110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87</w:t>
              <w:tab/>
            </w:r>
          </w:p>
        </w:tc>
      </w:tr>
      <w:tr>
        <w:tblPrEx>
          <w:tblW w:w="801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2029</w:t>
            </w: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2"/>
                <w:tab w:val="left" w:pos="1507"/>
              </w:tabs>
              <w:spacing w:before="53" w:after="30" w:line="240" w:lineRule="auto"/>
              <w:jc w:val="right"/>
            </w:pPr>
            <w:r>
              <w:rPr>
                <w:rFonts w:ascii="Times New Roman" w:eastAsia="Times New Roman" w:hAnsi="Times New Roman" w:cs="Times New Roman"/>
                <w:b w:val="0"/>
                <w:i w:val="0"/>
                <w:color w:val="000000"/>
                <w:sz w:val="20"/>
                <w:u w:val="none"/>
              </w:rPr>
              <w:tab/>
              <w:t>1,035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58</w:t>
              <w:tab/>
            </w:r>
          </w:p>
        </w:tc>
      </w:tr>
      <w:tr>
        <w:tblPrEx>
          <w:tblW w:w="801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2030</w:t>
            </w: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ab/>
              <w:t>208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801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Thereafter</w:t>
            </w:r>
          </w:p>
        </w:tc>
        <w:tc>
          <w:tcPr>
            <w:tcW w:w="15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27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801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minimum lease payments</w:t>
            </w:r>
          </w:p>
        </w:tc>
        <w:tc>
          <w:tcPr>
            <w:tcW w:w="15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2"/>
                <w:tab w:val="left" w:pos="1507"/>
              </w:tabs>
              <w:spacing w:before="33" w:after="30" w:line="240" w:lineRule="auto"/>
              <w:jc w:val="right"/>
            </w:pPr>
            <w:r>
              <w:rPr>
                <w:rFonts w:ascii="Times New Roman" w:eastAsia="Times New Roman" w:hAnsi="Times New Roman" w:cs="Times New Roman"/>
                <w:b w:val="0"/>
                <w:i w:val="0"/>
                <w:color w:val="000000"/>
                <w:sz w:val="20"/>
                <w:u w:val="none"/>
              </w:rPr>
              <w:tab/>
              <w:t>8,270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42"/>
                <w:tab w:val="left" w:pos="1507"/>
              </w:tabs>
              <w:spacing w:before="33" w:after="30" w:line="240" w:lineRule="auto"/>
              <w:jc w:val="right"/>
            </w:pPr>
            <w:r>
              <w:rPr>
                <w:rFonts w:ascii="Times New Roman" w:eastAsia="Times New Roman" w:hAnsi="Times New Roman" w:cs="Times New Roman"/>
                <w:b w:val="0"/>
                <w:i w:val="0"/>
                <w:color w:val="000000"/>
                <w:sz w:val="20"/>
                <w:u w:val="none"/>
              </w:rPr>
              <w:tab/>
              <w:t>321</w:t>
              <w:tab/>
            </w:r>
          </w:p>
        </w:tc>
      </w:tr>
      <w:tr>
        <w:tblPrEx>
          <w:tblW w:w="801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Less: imputed interest</w:t>
            </w:r>
          </w:p>
        </w:tc>
        <w:tc>
          <w:tcPr>
            <w:tcW w:w="15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6"/>
              </w:tabs>
              <w:spacing w:before="53" w:after="30" w:line="240" w:lineRule="auto"/>
              <w:jc w:val="right"/>
            </w:pPr>
            <w:r>
              <w:rPr>
                <w:rFonts w:ascii="Times New Roman" w:eastAsia="Times New Roman" w:hAnsi="Times New Roman" w:cs="Times New Roman"/>
                <w:b w:val="0"/>
                <w:i w:val="0"/>
                <w:color w:val="000000"/>
                <w:sz w:val="20"/>
                <w:u w:val="none"/>
              </w:rPr>
              <w:tab/>
              <w:t>(1,358)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6"/>
              </w:tabs>
              <w:spacing w:before="53" w:after="30" w:line="240" w:lineRule="auto"/>
              <w:jc w:val="right"/>
            </w:pPr>
            <w:r>
              <w:rPr>
                <w:rFonts w:ascii="Times New Roman" w:eastAsia="Times New Roman" w:hAnsi="Times New Roman" w:cs="Times New Roman"/>
                <w:b w:val="0"/>
                <w:i w:val="0"/>
                <w:color w:val="000000"/>
                <w:sz w:val="20"/>
                <w:u w:val="none"/>
              </w:rPr>
              <w:tab/>
              <w:t>(56)</w:t>
            </w:r>
          </w:p>
        </w:tc>
      </w:tr>
      <w:tr>
        <w:tblPrEx>
          <w:tblW w:w="801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 lease liabilities</w:t>
            </w:r>
          </w:p>
        </w:tc>
        <w:tc>
          <w:tcPr>
            <w:tcW w:w="15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9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6,912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14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265</w:t>
              <w:tab/>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color w:val="000000"/>
          <w:sz w:val="20"/>
          <w:u w:val="none"/>
        </w:r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i/>
          <w:color w:val="000000"/>
          <w:sz w:val="20"/>
          <w:u w:val="none"/>
        </w:rPr>
        <w:t>Contingencies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Although we have been, are, and in the future may be, the defendant or plaintiff in various actions arising in the normal course of business, as of December 31, 2025, we were not currently a party to any material legal proceedings</w:t>
      </w:r>
      <w:r>
        <w:rPr>
          <w:rFonts w:ascii="Times New Roman" w:eastAsia="Times New Roman" w:hAnsi="Times New Roman" w:cs="Times New Roman"/>
          <w:b w:val="0"/>
          <w:i w:val="0"/>
          <w:color w:val="000000"/>
          <w:sz w:val="20"/>
          <w:u w:val="none"/>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u w:val="none"/>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35" w:name="Section36"/>
      <w:bookmarkEnd w:id="35"/>
    </w:p>
    <w:p>
      <w:pPr>
        <w:keepNext/>
        <w:keepLines/>
        <w:pageBreakBefore w:val="0"/>
        <w:widowControl w:val="0"/>
        <w:numPr>
          <w:ilvl w:val="0"/>
          <w:numId w:val="0"/>
        </w:numPr>
        <w:spacing w:before="0" w:after="0" w:line="288" w:lineRule="auto"/>
        <w:ind w:left="900" w:right="0" w:hanging="900"/>
        <w:jc w:val="both"/>
        <w:outlineLvl w:val="3"/>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NOTE 9 - </w:t>
      </w:r>
      <w:r>
        <w:rPr>
          <w:rFonts w:ascii="Times New Roman" w:eastAsia="Times New Roman" w:hAnsi="Times New Roman" w:cs="Times New Roman"/>
          <w:b/>
          <w:i w:val="0"/>
          <w:color w:val="000000"/>
          <w:sz w:val="20"/>
          <w:u w:val="none"/>
        </w:rPr>
        <w:t>STOCKHOLDERS’ EQUITY, EMPLOYEE BENEFIT PLANS AND SHARE-BASED COMPENSATION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p>
    <w:p>
      <w:pPr>
        <w:keepNext/>
        <w:keepLines/>
        <w:pageBreakBefore w:val="0"/>
        <w:widowControl w:val="0"/>
        <w:numPr>
          <w:ilvl w:val="0"/>
          <w:numId w:val="0"/>
        </w:numPr>
        <w:spacing w:before="0" w:after="0" w:line="288" w:lineRule="auto"/>
        <w:ind w:left="900" w:right="0" w:hanging="900"/>
        <w:jc w:val="both"/>
        <w:outlineLvl w:val="9"/>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Shelf Registration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In April 2024, we filed a universal shelf registration statement on Form S-3 with the Securities and Exchange Commission (“SEC”) to provide access to additional capital, if needed. Pursuant to the shelf registration statement, we may from time to time offer to sell in one or more offerings shares of our common stock or other securities having an aggregate value of up to </w:t>
      </w:r>
      <w:r>
        <w:rPr>
          <w:rFonts w:ascii="Times New Roman" w:eastAsia="Times New Roman" w:hAnsi="Times New Roman" w:cs="Times New Roman"/>
          <w:b w:val="0"/>
          <w:i w:val="0"/>
          <w:color w:val="000000"/>
          <w:sz w:val="20"/>
          <w:u w:val="none"/>
        </w:rPr>
        <w:t>$150,000</w:t>
      </w:r>
      <w:r>
        <w:rPr>
          <w:rFonts w:ascii="Times New Roman" w:eastAsia="Times New Roman" w:hAnsi="Times New Roman" w:cs="Times New Roman"/>
          <w:b w:val="0"/>
          <w:i w:val="0"/>
          <w:color w:val="000000"/>
          <w:sz w:val="20"/>
          <w:u w:val="none"/>
        </w:rPr>
        <w:t xml:space="preserve">. The shelf registration statement relating to these securities became effective on April 19, 2024. As of December 31, 2025, there is </w:t>
      </w:r>
      <w:r>
        <w:rPr>
          <w:rFonts w:ascii="Times New Roman" w:eastAsia="Times New Roman" w:hAnsi="Times New Roman" w:cs="Times New Roman"/>
          <w:b w:val="0"/>
          <w:i w:val="0"/>
          <w:color w:val="000000"/>
          <w:sz w:val="20"/>
          <w:u w:val="none"/>
        </w:rPr>
        <w:t>$150,000</w:t>
      </w:r>
      <w:r>
        <w:rPr>
          <w:rFonts w:ascii="Times New Roman" w:eastAsia="Times New Roman" w:hAnsi="Times New Roman" w:cs="Times New Roman"/>
          <w:b w:val="0"/>
          <w:i w:val="0"/>
          <w:color w:val="000000"/>
          <w:sz w:val="20"/>
          <w:u w:val="none"/>
        </w:rPr>
        <w:t xml:space="preserve"> available under the shelf registration statement.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Also in April 2024, we filed an acquisition shelf registration statement on Form S-4 with the SEC to allow us to issue securities in future business combinations. Pursuant to the acquisition shelf registration statement, we may from time to time issue up to </w:t>
      </w:r>
      <w:r>
        <w:rPr>
          <w:rFonts w:ascii="Times New Roman" w:eastAsia="Times New Roman" w:hAnsi="Times New Roman" w:cs="Times New Roman"/>
          <w:b w:val="0"/>
          <w:i w:val="0"/>
          <w:color w:val="000000"/>
          <w:sz w:val="20"/>
          <w:u w:val="none"/>
        </w:rPr>
        <w:t>12,500</w:t>
      </w:r>
      <w:r>
        <w:rPr>
          <w:rFonts w:ascii="Times New Roman" w:eastAsia="Times New Roman" w:hAnsi="Times New Roman" w:cs="Times New Roman"/>
          <w:b w:val="0"/>
          <w:i w:val="0"/>
          <w:color w:val="000000"/>
          <w:sz w:val="20"/>
          <w:u w:val="none"/>
        </w:rPr>
        <w:t xml:space="preserve"> shares of our common stock as consideration in future business combinations. The shelf registration statement relating to these securities became effective on April 19, 2024. As of December 31, 2025, there are </w:t>
      </w:r>
      <w:r>
        <w:rPr>
          <w:rFonts w:ascii="Times New Roman" w:eastAsia="Times New Roman" w:hAnsi="Times New Roman" w:cs="Times New Roman"/>
          <w:b w:val="0"/>
          <w:i w:val="0"/>
          <w:color w:val="000000"/>
          <w:sz w:val="20"/>
          <w:u w:val="none"/>
        </w:rPr>
        <w:t>12,500</w:t>
      </w:r>
      <w:r>
        <w:rPr>
          <w:rFonts w:ascii="Times New Roman" w:eastAsia="Times New Roman" w:hAnsi="Times New Roman" w:cs="Times New Roman"/>
          <w:b w:val="0"/>
          <w:i w:val="0"/>
          <w:color w:val="000000"/>
          <w:sz w:val="20"/>
          <w:u w:val="none"/>
        </w:rPr>
        <w:t xml:space="preserve"> shares of common stock available for issuance under this acquisition shelf registration statement.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On </w:t>
      </w:r>
      <w:r>
        <w:rPr>
          <w:rFonts w:ascii="Times New Roman" w:eastAsia="Times New Roman" w:hAnsi="Times New Roman" w:cs="Times New Roman"/>
          <w:b w:val="0"/>
          <w:i w:val="0"/>
          <w:color w:val="000000"/>
          <w:sz w:val="20"/>
          <w:u w:val="none"/>
        </w:rPr>
        <w:t>October 31, 2024</w:t>
      </w:r>
      <w:r>
        <w:rPr>
          <w:rFonts w:ascii="Times New Roman" w:eastAsia="Times New Roman" w:hAnsi="Times New Roman" w:cs="Times New Roman"/>
          <w:b w:val="0"/>
          <w:i w:val="0"/>
          <w:color w:val="000000"/>
          <w:sz w:val="20"/>
          <w:u w:val="none"/>
        </w:rPr>
        <w:t xml:space="preserve">, we entered into a Sales Agreement (the “Sales Agreement”) with Roth Capital Partners, LLC (“Roth”). The Sales Agreement provides for the offer and sale of up to </w:t>
      </w:r>
      <w:r>
        <w:rPr>
          <w:rFonts w:ascii="Times New Roman" w:eastAsia="Times New Roman" w:hAnsi="Times New Roman" w:cs="Times New Roman"/>
          <w:b w:val="0"/>
          <w:i w:val="0"/>
          <w:color w:val="000000"/>
          <w:sz w:val="20"/>
          <w:u w:val="none"/>
        </w:rPr>
        <w:t>$25,000</w:t>
      </w:r>
      <w:r>
        <w:rPr>
          <w:rFonts w:ascii="Times New Roman" w:eastAsia="Times New Roman" w:hAnsi="Times New Roman" w:cs="Times New Roman"/>
          <w:b w:val="0"/>
          <w:i w:val="0"/>
          <w:color w:val="000000"/>
          <w:sz w:val="20"/>
          <w:u w:val="none"/>
        </w:rPr>
        <w:t xml:space="preserve"> of our newly issued common stock as registered under the April 2024 shelf registration, from time to time through an “at the market offering” program. We will specify the parameters for the sale of the shares of common stock, including the number of shares to be issued, the time period during which sales are requested to be made, any limitation on the number of shares that may be sold in any one trading day and any minimum price below which sales may not be made. We may offer and sell up to </w:t>
      </w:r>
      <w:r>
        <w:rPr>
          <w:rFonts w:ascii="Times New Roman" w:eastAsia="Times New Roman" w:hAnsi="Times New Roman" w:cs="Times New Roman"/>
          <w:b w:val="0"/>
          <w:i w:val="0"/>
          <w:color w:val="000000"/>
          <w:sz w:val="20"/>
          <w:u w:val="none"/>
        </w:rPr>
        <w:t>$25,000</w:t>
      </w:r>
      <w:r>
        <w:rPr>
          <w:rFonts w:ascii="Times New Roman" w:eastAsia="Times New Roman" w:hAnsi="Times New Roman" w:cs="Times New Roman"/>
          <w:b w:val="0"/>
          <w:i w:val="0"/>
          <w:color w:val="000000"/>
          <w:sz w:val="20"/>
          <w:u w:val="none"/>
        </w:rPr>
        <w:t xml:space="preserve"> of shares of common stock pursuant to the Sales Agreement. Actual sales of common stock under the Sales Agreement will depend on a variety of factors including, among other things, market conditions, the trading price of the common stock and potential funding needs. As a result, the full amount of capital may not be fully realized. We intend to use the net proceeds from these at-market offerings, if any, for general corporate purposes. Our general corporate purposes include, but are not limited to, repayment or refinancing of debt, capital expenditures, funding possible acquisitions, working capital and satisfaction of other obligations. As of December 31, 2025, there are </w:t>
      </w:r>
      <w:r>
        <w:rPr>
          <w:rFonts w:ascii="Times New Roman" w:eastAsia="Times New Roman" w:hAnsi="Times New Roman" w:cs="Times New Roman"/>
          <w:b w:val="0"/>
          <w:i w:val="0"/>
          <w:color w:val="000000"/>
          <w:sz w:val="20"/>
          <w:u w:val="none"/>
        </w:rPr>
        <w:t>$25,000</w:t>
      </w:r>
      <w:r>
        <w:rPr>
          <w:rFonts w:ascii="Times New Roman" w:eastAsia="Times New Roman" w:hAnsi="Times New Roman" w:cs="Times New Roman"/>
          <w:b w:val="0"/>
          <w:i w:val="0"/>
          <w:color w:val="000000"/>
          <w:sz w:val="20"/>
          <w:u w:val="none"/>
        </w:rPr>
        <w:t xml:space="preserve"> of shares of common stock available for issuance under the Sales Agreement.</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i w:val="0"/>
          <w:color w:val="000000"/>
          <w:sz w:val="20"/>
          <w:u w:val="none"/>
        </w:rPr>
        <w:t>Stock and Stock Option Plans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We have one active equity plan, the 2018 Incentive Award Plan (the “2018 Plan”).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Employees and consultants of the Company, its subsidiaries and affiliates, as well as members of our board, are eligible to receive awards under the 2018 Plan. The 2018 Plan provides for the grant of stock options, including incentive stock options (“ISOs”) and nonqualified stock options (“NQSOs”), stock appreciation rights, restricted stock, restricted stock units (“RSUs”), performance bonus awards, performance stock unit awards (“PSUs”), other stock or cash-based awards and dividend equivalents to eligible individuals.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 xml:space="preserve">The number of shares available for issuance under the 2018 Plan is 6,998 shares. We have 819 options, 820 RSUs, and 558 PSUs granted and outstanding pursuant to the 2018 Plan as of December 31, 2025.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We use the Black-Scholes option valuation model to value employee stock awards. We estimate stock price volatility based upon our historical volatility. Estimated option life and forfeiture rate assumptions are derived from historical data. For stock-based compensation awards with graded vesting, we recognize compensation expense using the straight-line amortization method. During the years ended December 31, 2025 and 2024, we have not issued any stock options as compensation.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Total compensation expense recognized in the Consolidated Statements of Comprehensive Loss for stock based awards was $7,739 and $6,444 for 2025 and 2024, respectively.</w:t>
      </w:r>
    </w:p>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As of December 31, 2025, we reserved shares of common stock for future issuance under the 2018 Plan as follows (in thousands):</w:t>
      </w:r>
    </w:p>
    <w:tbl>
      <w:tblPr>
        <w:tblW w:w="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485"/>
      </w:tblGrid>
      <w:tr>
        <w:tblPrEx>
          <w:tblW w:w="627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Options, PSUs and RSUs outstanding</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2,197</w:t>
              <w:tab/>
            </w:r>
          </w:p>
        </w:tc>
      </w:tr>
      <w:tr>
        <w:tblPrEx>
          <w:tblW w:w="627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Shares available for future grant</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2,646</w:t>
              <w:tab/>
            </w:r>
          </w:p>
        </w:tc>
      </w:tr>
      <w:tr>
        <w:tblPrEx>
          <w:tblW w:w="627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Shares reserved</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02"/>
                <w:tab w:val="left" w:pos="1417"/>
              </w:tabs>
              <w:spacing w:before="33" w:after="30" w:line="240" w:lineRule="auto"/>
              <w:jc w:val="right"/>
            </w:pPr>
            <w:r>
              <w:rPr>
                <w:rFonts w:ascii="Times New Roman" w:eastAsia="Times New Roman" w:hAnsi="Times New Roman" w:cs="Times New Roman"/>
                <w:b w:val="0"/>
                <w:i w:val="0"/>
                <w:color w:val="000000"/>
                <w:sz w:val="20"/>
                <w:u w:val="none"/>
              </w:rPr>
              <w:tab/>
              <w:t>4,843</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activity related to options during the year ended December 31, 2025:</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095"/>
        <w:gridCol w:w="1485"/>
        <w:gridCol w:w="75"/>
        <w:gridCol w:w="1485"/>
        <w:gridCol w:w="75"/>
        <w:gridCol w:w="1485"/>
        <w:gridCol w:w="75"/>
        <w:gridCol w:w="1485"/>
      </w:tblGrid>
      <w:tr>
        <w:tblPrEx>
          <w:tblW w:w="10260" w:type="dxa"/>
          <w:tblInd w:w="0" w:type="dxa"/>
          <w:tblLayout w:type="fixed"/>
        </w:tblPrEx>
        <w:trPr>
          <w:cantSplit/>
          <w:trHeight w:hRule="exact" w:val="1065"/>
        </w:trPr>
        <w:tc>
          <w:tcPr>
            <w:tcW w:w="40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Shares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Weighted Average Exercise Price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Weighted Average Remaining Contractual Term</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Aggregate Intrinsic Value</w:t>
            </w:r>
          </w:p>
        </w:tc>
      </w:tr>
      <w:tr>
        <w:tblPrEx>
          <w:tblW w:w="10260" w:type="dxa"/>
          <w:tblInd w:w="0" w:type="dxa"/>
          <w:tblLayout w:type="fixed"/>
        </w:tblPrEx>
        <w:trPr>
          <w:cantSplit/>
          <w:trHeight w:hRule="exact" w:val="31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Outstanding, beginning of year</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33" w:after="30" w:line="240" w:lineRule="auto"/>
              <w:jc w:val="right"/>
            </w:pPr>
            <w:r>
              <w:rPr>
                <w:rFonts w:ascii="Times New Roman" w:eastAsia="Times New Roman" w:hAnsi="Times New Roman" w:cs="Times New Roman"/>
                <w:b w:val="0"/>
                <w:i w:val="0"/>
                <w:color w:val="000000"/>
                <w:sz w:val="20"/>
                <w:u w:val="none"/>
              </w:rPr>
              <w:tab/>
              <w:t>1,283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7.36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Granted</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Exercised</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(460)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2"/>
                <w:tab w:val="left" w:pos="1417"/>
              </w:tabs>
              <w:spacing w:before="53" w:after="30" w:line="240" w:lineRule="auto"/>
              <w:jc w:val="right"/>
            </w:pPr>
            <w:r>
              <w:rPr>
                <w:rFonts w:ascii="Times New Roman" w:eastAsia="Times New Roman" w:hAnsi="Times New Roman" w:cs="Times New Roman"/>
                <w:b w:val="0"/>
                <w:i w:val="0"/>
                <w:color w:val="000000"/>
                <w:sz w:val="20"/>
                <w:u w:val="none"/>
              </w:rPr>
              <w:tab/>
              <w:t>6.77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Cancelled</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66"/>
              </w:tabs>
              <w:spacing w:before="53" w:after="30" w:line="240" w:lineRule="auto"/>
              <w:jc w:val="right"/>
            </w:pPr>
            <w:r>
              <w:rPr>
                <w:rFonts w:ascii="Times New Roman" w:eastAsia="Times New Roman" w:hAnsi="Times New Roman" w:cs="Times New Roman"/>
                <w:b w:val="0"/>
                <w:i w:val="0"/>
                <w:color w:val="000000"/>
                <w:sz w:val="20"/>
                <w:u w:val="none"/>
              </w:rPr>
              <w:tab/>
              <w:t>(4)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02"/>
                <w:tab w:val="left" w:pos="1417"/>
              </w:tabs>
              <w:spacing w:before="53" w:after="30" w:line="240" w:lineRule="auto"/>
              <w:jc w:val="right"/>
            </w:pPr>
            <w:r>
              <w:rPr>
                <w:rFonts w:ascii="Times New Roman" w:eastAsia="Times New Roman" w:hAnsi="Times New Roman" w:cs="Times New Roman"/>
                <w:b w:val="0"/>
                <w:i w:val="0"/>
                <w:color w:val="000000"/>
                <w:sz w:val="20"/>
                <w:u w:val="none"/>
              </w:rPr>
              <w:tab/>
              <w:t>7.48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Outstanding, end of year</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ab/>
              <w:t>819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0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7.69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33" w:after="30" w:line="240" w:lineRule="auto"/>
              <w:jc w:val="right"/>
            </w:pPr>
            <w:r>
              <w:rPr>
                <w:rFonts w:ascii="Times New Roman" w:eastAsia="Times New Roman" w:hAnsi="Times New Roman" w:cs="Times New Roman"/>
                <w:b w:val="0"/>
                <w:i w:val="0"/>
                <w:color w:val="000000"/>
                <w:sz w:val="20"/>
                <w:u w:val="none"/>
              </w:rPr>
              <w:t>0.87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1,456</w:t>
              <w:tab/>
            </w:r>
          </w:p>
        </w:tc>
      </w:tr>
      <w:tr>
        <w:tblPrEx>
          <w:tblW w:w="10260" w:type="dxa"/>
          <w:tblInd w:w="0" w:type="dxa"/>
          <w:tblLayout w:type="fixed"/>
        </w:tblPrEx>
        <w:trPr>
          <w:cantSplit/>
          <w:trHeight w:hRule="exact" w:val="315"/>
        </w:trPr>
        <w:tc>
          <w:tcPr>
            <w:tcW w:w="40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Vested and expected to vest</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819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7.69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0.87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1,456</w:t>
              <w:tab/>
            </w:r>
          </w:p>
        </w:tc>
      </w:tr>
      <w:tr>
        <w:tblPrEx>
          <w:tblW w:w="10260" w:type="dxa"/>
          <w:tblInd w:w="0" w:type="dxa"/>
          <w:tblLayout w:type="fixed"/>
        </w:tblPrEx>
        <w:trPr>
          <w:cantSplit/>
          <w:trHeight w:hRule="exact" w:val="31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3" w:after="30" w:line="240" w:lineRule="auto"/>
              <w:jc w:val="left"/>
            </w:pPr>
            <w:r>
              <w:rPr>
                <w:rFonts w:ascii="Times New Roman" w:eastAsia="Times New Roman" w:hAnsi="Times New Roman" w:cs="Times New Roman"/>
                <w:b w:val="0"/>
                <w:i w:val="0"/>
                <w:color w:val="000000"/>
                <w:sz w:val="20"/>
                <w:u w:val="none"/>
              </w:rPr>
              <w:t>Exercisable</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817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0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7.68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53" w:type="dxa"/>
            </w:tcMar>
            <w:vAlign w:val="bottom"/>
          </w:tcPr>
          <w:p>
            <w:pPr>
              <w:pageBreakBefore w:val="0"/>
              <w:spacing w:before="53" w:after="30" w:line="240" w:lineRule="auto"/>
              <w:jc w:val="right"/>
            </w:pPr>
            <w:r>
              <w:rPr>
                <w:rFonts w:ascii="Times New Roman" w:eastAsia="Times New Roman" w:hAnsi="Times New Roman" w:cs="Times New Roman"/>
                <w:b w:val="0"/>
                <w:i w:val="0"/>
                <w:color w:val="000000"/>
                <w:sz w:val="20"/>
                <w:u w:val="none"/>
              </w:rPr>
              <w:t>0.87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1,456</w:t>
              <w:tab/>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total intrinsic value of options exercised during the years ended December 31, 2025 and 2024, was $1,251 and $225, respectively. As of December 31, 2025, total compensation cost not yet recognized related to nonvested share options was $7, which is expected to be recognized over a weighted average period of 0.42 years.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activity related to RSUs during the year ended December 31, 2025 (in thousands, except for weighted average grant date fair value):</w:t>
      </w: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485"/>
        <w:gridCol w:w="75"/>
        <w:gridCol w:w="1485"/>
      </w:tblGrid>
      <w:tr>
        <w:tblPrEx>
          <w:tblW w:w="7830" w:type="dxa"/>
          <w:tblLayout w:type="fixed"/>
        </w:tblPrEx>
        <w:trPr>
          <w:cantSplit/>
          <w:trHeight w:hRule="exact" w:val="675"/>
        </w:trPr>
        <w:tc>
          <w:tcPr>
            <w:tcW w:w="47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Shares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Weighted Average Grant Date Fair Value</w:t>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Outstanding, beginning of year</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754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9.59</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Granted</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594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02"/>
                <w:tab w:val="left" w:pos="1417"/>
              </w:tabs>
              <w:spacing w:before="53" w:after="30" w:line="240" w:lineRule="auto"/>
              <w:jc w:val="right"/>
            </w:pPr>
            <w:r>
              <w:rPr>
                <w:rFonts w:ascii="Times New Roman" w:eastAsia="Times New Roman" w:hAnsi="Times New Roman" w:cs="Times New Roman"/>
                <w:b w:val="0"/>
                <w:i w:val="0"/>
                <w:color w:val="000000"/>
                <w:sz w:val="20"/>
                <w:u w:val="none"/>
              </w:rPr>
              <w:tab/>
              <w:t>9.76</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Performance adjustments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24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2"/>
                <w:tab w:val="left" w:pos="1417"/>
              </w:tabs>
              <w:spacing w:before="53" w:after="30" w:line="240" w:lineRule="auto"/>
              <w:jc w:val="right"/>
            </w:pPr>
            <w:r>
              <w:rPr>
                <w:rFonts w:ascii="Times New Roman" w:eastAsia="Times New Roman" w:hAnsi="Times New Roman" w:cs="Times New Roman"/>
                <w:b w:val="0"/>
                <w:i w:val="0"/>
                <w:color w:val="000000"/>
                <w:sz w:val="20"/>
                <w:u w:val="none"/>
              </w:rPr>
              <w:tab/>
              <w:t>9.76</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Vested</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(478)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02"/>
                <w:tab w:val="left" w:pos="1417"/>
              </w:tabs>
              <w:spacing w:before="53" w:after="30" w:line="240" w:lineRule="auto"/>
              <w:jc w:val="right"/>
            </w:pPr>
            <w:r>
              <w:rPr>
                <w:rFonts w:ascii="Times New Roman" w:eastAsia="Times New Roman" w:hAnsi="Times New Roman" w:cs="Times New Roman"/>
                <w:b w:val="0"/>
                <w:i w:val="0"/>
                <w:color w:val="000000"/>
                <w:sz w:val="20"/>
                <w:u w:val="none"/>
              </w:rPr>
              <w:tab/>
              <w:t>9.67</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Forfeited</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66"/>
              </w:tabs>
              <w:spacing w:before="53" w:after="30" w:line="240" w:lineRule="auto"/>
              <w:jc w:val="right"/>
            </w:pPr>
            <w:r>
              <w:rPr>
                <w:rFonts w:ascii="Times New Roman" w:eastAsia="Times New Roman" w:hAnsi="Times New Roman" w:cs="Times New Roman"/>
                <w:b w:val="0"/>
                <w:i w:val="0"/>
                <w:color w:val="000000"/>
                <w:sz w:val="20"/>
                <w:u w:val="none"/>
              </w:rPr>
              <w:tab/>
              <w:t>(74)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02"/>
                <w:tab w:val="left" w:pos="1417"/>
              </w:tabs>
              <w:spacing w:before="53" w:after="30" w:line="240" w:lineRule="auto"/>
              <w:jc w:val="right"/>
            </w:pPr>
            <w:r>
              <w:rPr>
                <w:rFonts w:ascii="Times New Roman" w:eastAsia="Times New Roman" w:hAnsi="Times New Roman" w:cs="Times New Roman"/>
                <w:b w:val="0"/>
                <w:i w:val="0"/>
                <w:color w:val="000000"/>
                <w:sz w:val="20"/>
                <w:u w:val="none"/>
              </w:rPr>
              <w:tab/>
              <w:t>9.89</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Outstanding, end of year</w:t>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ab/>
              <w:t>820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0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9.62</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total fair value of RSUs vested during the years ended December 31, 2025 and 2024, was $4,623 and $3,481, respectively. As of December 31, 2025, total compensation cost not yet recognized related to nonvested RSUs was $4,709, which is expected to be recognized over a weighted average period of 1.91 years.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activity related to PSUs during the year ended December 31, 2025 (in thousands, except for weighted average grant date fair value):</w:t>
      </w: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485"/>
        <w:gridCol w:w="75"/>
        <w:gridCol w:w="1485"/>
      </w:tblGrid>
      <w:tr>
        <w:tblPrEx>
          <w:tblW w:w="7830" w:type="dxa"/>
          <w:tblLayout w:type="fixed"/>
        </w:tblPrEx>
        <w:trPr>
          <w:cantSplit/>
          <w:trHeight w:hRule="exact" w:val="675"/>
        </w:trPr>
        <w:tc>
          <w:tcPr>
            <w:tcW w:w="47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Shares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Weighted Average Grant Date Fair Value</w:t>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Outstanding, beginning of year</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368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9.26</w:t>
              <w:tab/>
            </w:r>
          </w:p>
        </w:tc>
      </w:tr>
      <w:tr>
        <w:tblPrEx>
          <w:tblW w:w="7830" w:type="dxa"/>
          <w:tblLayout w:type="fixed"/>
        </w:tblPrEx>
        <w:trPr>
          <w:cantSplit/>
          <w:trHeight w:hRule="exact" w:val="315"/>
        </w:trPr>
        <w:tc>
          <w:tcPr>
            <w:tcW w:w="47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Granted</w:t>
            </w:r>
          </w:p>
        </w:tc>
        <w:tc>
          <w:tcPr>
            <w:tcW w:w="1485" w:type="dxa"/>
            <w:tcBorders>
              <w:top w:val="nil"/>
              <w:left w:val="nil"/>
              <w:bottom w:val="nil"/>
              <w:right w:val="nil"/>
            </w:tcBorders>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348</w:t>
              <w:tab/>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tcMar>
              <w:top w:w="0" w:type="dxa"/>
              <w:left w:w="0" w:type="dxa"/>
              <w:bottom w:w="0" w:type="dxa"/>
              <w:right w:w="15" w:type="dxa"/>
            </w:tcMar>
            <w:vAlign w:val="bottom"/>
          </w:tcPr>
          <w:p>
            <w:pPr>
              <w:keepNext/>
              <w:pageBreakBefore w:val="0"/>
              <w:tabs>
                <w:tab w:val="left" w:pos="1002"/>
                <w:tab w:val="left" w:pos="1417"/>
              </w:tabs>
              <w:spacing w:before="53" w:after="30" w:line="240" w:lineRule="auto"/>
              <w:jc w:val="right"/>
            </w:pPr>
            <w:r>
              <w:rPr>
                <w:rFonts w:ascii="Times New Roman" w:eastAsia="Times New Roman" w:hAnsi="Times New Roman" w:cs="Times New Roman"/>
                <w:b w:val="0"/>
                <w:i w:val="0"/>
                <w:color w:val="000000"/>
                <w:sz w:val="20"/>
                <w:u w:val="none"/>
              </w:rPr>
              <w:tab/>
              <w:t>9.47</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Performance adjustments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52"/>
                <w:tab w:val="left" w:pos="1417"/>
              </w:tabs>
              <w:spacing w:before="53" w:after="30" w:line="240" w:lineRule="auto"/>
              <w:jc w:val="right"/>
            </w:pPr>
            <w:r>
              <w:rPr>
                <w:rFonts w:ascii="Times New Roman" w:eastAsia="Times New Roman" w:hAnsi="Times New Roman" w:cs="Times New Roman"/>
                <w:b w:val="0"/>
                <w:i w:val="0"/>
                <w:color w:val="000000"/>
                <w:sz w:val="20"/>
                <w:u w:val="none"/>
              </w:rPr>
              <w:tab/>
              <w:t>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02"/>
                <w:tab w:val="left" w:pos="1417"/>
              </w:tabs>
              <w:spacing w:before="53" w:after="30" w:line="240" w:lineRule="auto"/>
              <w:jc w:val="right"/>
            </w:pPr>
            <w:r>
              <w:rPr>
                <w:rFonts w:ascii="Times New Roman" w:eastAsia="Times New Roman" w:hAnsi="Times New Roman" w:cs="Times New Roman"/>
                <w:b w:val="0"/>
                <w:i w:val="0"/>
                <w:color w:val="000000"/>
                <w:sz w:val="20"/>
                <w:u w:val="none"/>
              </w:rPr>
              <w:tab/>
              <w:t>9.47</w:t>
              <w:tab/>
            </w:r>
          </w:p>
        </w:tc>
      </w:tr>
      <w:tr>
        <w:tblPrEx>
          <w:tblW w:w="7830" w:type="dxa"/>
          <w:tblLayout w:type="fixed"/>
        </w:tblPrEx>
        <w:trPr>
          <w:cantSplit/>
          <w:trHeight w:hRule="exact" w:val="315"/>
        </w:trPr>
        <w:tc>
          <w:tcPr>
            <w:tcW w:w="47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Vested</w:t>
            </w:r>
          </w:p>
        </w:tc>
        <w:tc>
          <w:tcPr>
            <w:tcW w:w="1485" w:type="dxa"/>
            <w:tcBorders>
              <w:top w:val="nil"/>
              <w:left w:val="nil"/>
              <w:bottom w:val="nil"/>
              <w:right w:val="nil"/>
            </w:tcBorders>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(159)</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tcMar>
              <w:top w:w="0" w:type="dxa"/>
              <w:left w:w="0" w:type="dxa"/>
              <w:bottom w:w="0" w:type="dxa"/>
              <w:right w:w="15" w:type="dxa"/>
            </w:tcMar>
            <w:vAlign w:val="bottom"/>
          </w:tcPr>
          <w:p>
            <w:pPr>
              <w:keepNext/>
              <w:pageBreakBefore w:val="0"/>
              <w:tabs>
                <w:tab w:val="left" w:pos="1002"/>
                <w:tab w:val="left" w:pos="1417"/>
              </w:tabs>
              <w:spacing w:before="53" w:after="30" w:line="240" w:lineRule="auto"/>
              <w:jc w:val="right"/>
            </w:pPr>
            <w:r>
              <w:rPr>
                <w:rFonts w:ascii="Times New Roman" w:eastAsia="Times New Roman" w:hAnsi="Times New Roman" w:cs="Times New Roman"/>
                <w:b w:val="0"/>
                <w:i w:val="0"/>
                <w:color w:val="000000"/>
                <w:sz w:val="20"/>
                <w:u w:val="none"/>
              </w:rPr>
              <w:tab/>
              <w:t>9.35</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Forfeited</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7830" w:type="dxa"/>
          <w:tblLayout w:type="fixed"/>
        </w:tblPrEx>
        <w:trPr>
          <w:cantSplit/>
          <w:trHeight w:hRule="exact" w:val="315"/>
        </w:trPr>
        <w:tc>
          <w:tcPr>
            <w:tcW w:w="4785" w:type="dxa"/>
            <w:tcBorders>
              <w:top w:val="nil"/>
              <w:left w:val="nil"/>
              <w:bottom w:val="nil"/>
              <w:right w:val="nil"/>
            </w:tcBorders>
            <w:tcMar>
              <w:top w:w="0" w:type="dxa"/>
              <w:left w:w="53" w:type="dxa"/>
              <w:bottom w:w="0" w:type="dxa"/>
              <w:right w:w="53" w:type="dxa"/>
            </w:tcMar>
            <w:vAlign w:val="bottom"/>
          </w:tcPr>
          <w:p>
            <w:pPr>
              <w:pageBreakBefore w:val="0"/>
              <w:spacing w:before="33" w:after="30" w:line="240" w:lineRule="auto"/>
              <w:ind w:left="120"/>
              <w:jc w:val="left"/>
            </w:pPr>
            <w:r>
              <w:rPr>
                <w:rFonts w:ascii="Times New Roman" w:eastAsia="Times New Roman" w:hAnsi="Times New Roman" w:cs="Times New Roman"/>
                <w:b w:val="0"/>
                <w:i w:val="0"/>
                <w:color w:val="000000"/>
                <w:sz w:val="20"/>
                <w:u w:val="none"/>
              </w:rPr>
              <w:t>Outstanding, end of year</w:t>
            </w:r>
          </w:p>
        </w:tc>
        <w:tc>
          <w:tcPr>
            <w:tcW w:w="1485" w:type="dxa"/>
            <w:tcBorders>
              <w:top w:val="single" w:sz="8" w:space="0" w:color="000000"/>
              <w:left w:val="nil"/>
              <w:bottom w:val="double" w:sz="8" w:space="0" w:color="000000"/>
              <w:right w:val="nil"/>
            </w:tcBorders>
            <w:tcMar>
              <w:top w:w="0" w:type="dxa"/>
              <w:left w:w="0" w:type="dxa"/>
              <w:bottom w:w="0" w:type="dxa"/>
              <w:right w:w="15" w:type="dxa"/>
            </w:tcMar>
            <w:vAlign w:val="bottom"/>
          </w:tcPr>
          <w:p>
            <w:pPr>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ab/>
              <w:t>558</w:t>
              <w:tab/>
            </w:r>
          </w:p>
        </w:tc>
        <w:tc>
          <w:tcPr>
            <w:tcW w:w="7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tcMar>
              <w:top w:w="0" w:type="dxa"/>
              <w:left w:w="0" w:type="dxa"/>
              <w:bottom w:w="0" w:type="dxa"/>
              <w:right w:w="15" w:type="dxa"/>
            </w:tcMar>
            <w:vAlign w:val="bottom"/>
          </w:tcPr>
          <w:p>
            <w:pPr>
              <w:pageBreakBefore w:val="0"/>
              <w:tabs>
                <w:tab w:val="left" w:pos="10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9.40</w:t>
              <w:tab/>
            </w:r>
          </w:p>
        </w:tc>
      </w:tr>
    </w:tbl>
    <w:p>
      <w:pPr>
        <w:keepNext w:val="0"/>
        <w:keepLines/>
        <w:pageBreakBefore w:val="0"/>
        <w:widowControl w:val="0"/>
        <w:numPr>
          <w:ilvl w:val="0"/>
          <w:numId w:val="0"/>
        </w:numPr>
        <w:spacing w:before="0" w:after="0" w:line="288" w:lineRule="auto"/>
        <w:ind w:left="0" w:right="0" w:firstLine="720"/>
        <w:jc w:val="center"/>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br/>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As of December 31, 2025, total compensation cost not yet recognized related to nonvested PSUs was $1,136 which is expected to be recognized over a weighted average period of 1.96 years.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As of December 31, 2025, we had 2,646 shares available for grant pursuant to the 2018 Plan.</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i w:val="0"/>
          <w:color w:val="000000"/>
          <w:sz w:val="20"/>
          <w:u w:val="none"/>
        </w:rPr>
        <w:t>401(k) Savings Plan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We sponsor a defined contribution 401(k) plan that is available to substantially all employees. Our Board of Directors may amend or terminate the plan at any time. Defined contribution plan expense was</w:t>
      </w:r>
      <w:r>
        <w:rPr>
          <w:rFonts w:ascii="Times New Roman" w:eastAsia="Times New Roman" w:hAnsi="Times New Roman" w:cs="Times New Roman"/>
          <w:b w:val="0"/>
          <w:i w:val="0"/>
          <w:color w:val="000000"/>
          <w:sz w:val="20"/>
          <w:highlight w:val="white"/>
          <w:u w:val="none"/>
        </w:rPr>
        <w:t xml:space="preserve"> $2,186 and </w:t>
      </w:r>
      <w:r>
        <w:rPr>
          <w:rFonts w:ascii="Times New Roman" w:eastAsia="Times New Roman" w:hAnsi="Times New Roman" w:cs="Times New Roman"/>
          <w:b w:val="0"/>
          <w:i w:val="0"/>
          <w:color w:val="000000"/>
          <w:sz w:val="20"/>
          <w:u w:val="none"/>
        </w:rPr>
        <w:t xml:space="preserve">$2,061 </w:t>
      </w:r>
      <w:r>
        <w:rPr>
          <w:rFonts w:ascii="Times New Roman" w:eastAsia="Times New Roman" w:hAnsi="Times New Roman" w:cs="Times New Roman"/>
          <w:b w:val="0"/>
          <w:i w:val="0"/>
          <w:color w:val="000000"/>
          <w:sz w:val="20"/>
          <w:highlight w:val="white"/>
          <w:u w:val="none"/>
        </w:rPr>
        <w:t>during the years ended</w:t>
      </w:r>
      <w:r>
        <w:rPr>
          <w:rFonts w:ascii="Times New Roman" w:eastAsia="Times New Roman" w:hAnsi="Times New Roman" w:cs="Times New Roman"/>
          <w:b w:val="0"/>
          <w:i w:val="0"/>
          <w:color w:val="000000"/>
          <w:sz w:val="20"/>
          <w:u w:val="none"/>
        </w:rPr>
        <w:t xml:space="preserve"> December 31, 2025 and 2024, respectively.</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Employee Stock Purchase Plan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Our Employee Stock Purchase Plan (“Purchase Plan”) was approved by the stockholders in June 2017. The Purchase Plan allows all eligible employees to purchase a limited number of shares of our common stock during pre-specified offering periods at a discount established by the Board of Directors, not to exceed 15% of the fair market value of the common stock, at the beginning or end of the offering period (whichever i</w:t>
      </w:r>
      <w:r>
        <w:rPr>
          <w:rFonts w:ascii="Times New Roman" w:eastAsia="Times New Roman" w:hAnsi="Times New Roman" w:cs="Times New Roman"/>
          <w:b w:val="0"/>
          <w:i w:val="0"/>
          <w:color w:val="000000"/>
          <w:sz w:val="20"/>
          <w:highlight w:val="white"/>
          <w:u w:val="none"/>
        </w:rPr>
        <w:t xml:space="preserve">s lower). Under the ESPP, </w:t>
      </w:r>
      <w:r>
        <w:rPr>
          <w:rFonts w:ascii="Times New Roman" w:eastAsia="Times New Roman" w:hAnsi="Times New Roman" w:cs="Times New Roman"/>
          <w:b w:val="0"/>
          <w:i w:val="0"/>
          <w:color w:val="000000"/>
          <w:sz w:val="20"/>
          <w:u w:val="none"/>
        </w:rPr>
        <w:t>875</w:t>
      </w:r>
      <w:r>
        <w:rPr>
          <w:rFonts w:ascii="Times New Roman" w:eastAsia="Times New Roman" w:hAnsi="Times New Roman" w:cs="Times New Roman"/>
          <w:b w:val="0"/>
          <w:i w:val="0"/>
          <w:color w:val="000000"/>
          <w:sz w:val="20"/>
          <w:highlight w:val="white"/>
          <w:u w:val="none"/>
        </w:rPr>
        <w:t xml:space="preserve"> shares were reserved for issuance of which there remai</w:t>
      </w:r>
      <w:r>
        <w:rPr>
          <w:rFonts w:ascii="Times New Roman" w:eastAsia="Times New Roman" w:hAnsi="Times New Roman" w:cs="Times New Roman"/>
          <w:b w:val="0"/>
          <w:i w:val="0"/>
          <w:color w:val="000000"/>
          <w:sz w:val="20"/>
          <w:u w:val="none"/>
        </w:rPr>
        <w:t>ns 295 s</w:t>
      </w:r>
      <w:r>
        <w:rPr>
          <w:rFonts w:ascii="Times New Roman" w:eastAsia="Times New Roman" w:hAnsi="Times New Roman" w:cs="Times New Roman"/>
          <w:b w:val="0"/>
          <w:i w:val="0"/>
          <w:color w:val="000000"/>
          <w:sz w:val="20"/>
          <w:highlight w:val="white"/>
          <w:u w:val="none"/>
        </w:rPr>
        <w:t>hares available for future issuance.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val="0"/>
          <w:i w:val="0"/>
          <w:sz w:val="20"/>
        </w:rPr>
      </w:pPr>
      <w:bookmarkStart w:id="36" w:name="Section37"/>
      <w:bookmarkEnd w:id="36"/>
      <w:r>
        <w:rPr>
          <w:rFonts w:ascii="Times New Roman" w:eastAsia="Times New Roman" w:hAnsi="Times New Roman" w:cs="Times New Roman"/>
          <w:b/>
          <w:i w:val="0"/>
          <w:sz w:val="20"/>
        </w:rPr>
        <w:t xml:space="preserve">NOTE 10 - </w:t>
      </w:r>
      <w:r>
        <w:rPr>
          <w:rFonts w:ascii="Times New Roman" w:eastAsia="Times New Roman" w:hAnsi="Times New Roman" w:cs="Times New Roman"/>
          <w:b/>
          <w:i w:val="0"/>
          <w:color w:val="000000"/>
          <w:sz w:val="20"/>
          <w:u w:val="none"/>
        </w:rPr>
        <w:t>INCOME TAXES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The components of the provision for income taxes attributable to continuing operations for the years ended December 31, 2025 and 2024, are as follows (in thousands):</w:t>
      </w: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485"/>
        <w:gridCol w:w="75"/>
        <w:gridCol w:w="1485"/>
      </w:tblGrid>
      <w:tr>
        <w:tblPrEx>
          <w:tblW w:w="7830" w:type="dxa"/>
          <w:tblLayout w:type="fixed"/>
        </w:tblPrEx>
        <w:trPr>
          <w:cantSplit/>
          <w:trHeight w:hRule="exact" w:val="315"/>
        </w:trPr>
        <w:tc>
          <w:tcPr>
            <w:tcW w:w="47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2024</w:t>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i w:val="0"/>
                <w:color w:val="000000"/>
                <w:sz w:val="20"/>
                <w:u w:val="none"/>
              </w:rPr>
              <w:t>Current</w:t>
            </w: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Federal</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9</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State</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40</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current</w:t>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49</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Deferred</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Federal</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81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532</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State</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571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352</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deferred</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652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884</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 tax provision</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652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933</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Upon adoption of ASU 2023-09, Improvements to Income Tax Disclosures (Topic 740), as described in Note 1 — Description of Business, Basis of Presentation, and Significant Accounting Policies, the reconciliation of taxes at the federal statutory rate to our provision for income taxes for the year ended December 31, 2025, was as follows:</w:t>
      </w:r>
    </w:p>
    <w:tbl>
      <w:tblPr>
        <w:tblW w:w="7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800"/>
        <w:gridCol w:w="1485"/>
        <w:gridCol w:w="75"/>
        <w:gridCol w:w="1485"/>
      </w:tblGrid>
      <w:tr>
        <w:tblPrEx>
          <w:tblW w:w="7845" w:type="dxa"/>
          <w:tblLayout w:type="fixed"/>
        </w:tblPrEx>
        <w:trPr>
          <w:cantSplit/>
          <w:trHeight w:hRule="exact" w:val="315"/>
        </w:trPr>
        <w:tc>
          <w:tcPr>
            <w:tcW w:w="48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045" w:type="dxa"/>
            <w:gridSpan w:val="3"/>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2025</w:t>
            </w:r>
          </w:p>
        </w:tc>
      </w:tr>
      <w:tr>
        <w:tblPrEx>
          <w:tblW w:w="7845"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U.S. federal statutory tax rate</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16"/>
              </w:tabs>
              <w:spacing w:before="33" w:after="30" w:line="240" w:lineRule="auto"/>
              <w:jc w:val="right"/>
            </w:pPr>
            <w:r>
              <w:rPr>
                <w:rFonts w:ascii="Times New Roman" w:eastAsia="Times New Roman" w:hAnsi="Times New Roman" w:cs="Times New Roman"/>
                <w:b w:val="0"/>
                <w:i w:val="0"/>
                <w:color w:val="000000"/>
                <w:sz w:val="20"/>
                <w:u w:val="none"/>
              </w:rPr>
              <w:t>$</w:t>
              <w:tab/>
              <w:t>(2,621)</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19"/>
              </w:tabs>
              <w:spacing w:before="33" w:after="30" w:line="240" w:lineRule="auto"/>
              <w:jc w:val="right"/>
            </w:pPr>
            <w:r>
              <w:rPr>
                <w:rFonts w:ascii="Times New Roman" w:eastAsia="Times New Roman" w:hAnsi="Times New Roman" w:cs="Times New Roman"/>
                <w:b w:val="0"/>
                <w:i w:val="0"/>
                <w:color w:val="000000"/>
                <w:sz w:val="20"/>
                <w:u w:val="none"/>
              </w:rPr>
              <w:tab/>
              <w:t>21.0</w:t>
              <w:tab/>
              <w:t>%</w:t>
            </w:r>
          </w:p>
        </w:tc>
      </w:tr>
      <w:tr>
        <w:tblPrEx>
          <w:tblW w:w="7845"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State taxes, net of federal benefit</w:t>
            </w:r>
            <w:r>
              <w:rPr>
                <w:rFonts w:ascii="Times New Roman" w:eastAsia="Times New Roman" w:hAnsi="Times New Roman" w:cs="Times New Roman"/>
                <w:b w:val="0"/>
                <w:i w:val="0"/>
                <w:sz w:val="20"/>
                <w:vertAlign w:val="superscript"/>
              </w:rPr>
              <w:t>(1)</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551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86"/>
              </w:tabs>
              <w:spacing w:before="53" w:after="30" w:line="240" w:lineRule="auto"/>
              <w:jc w:val="right"/>
            </w:pPr>
            <w:r>
              <w:rPr>
                <w:rFonts w:ascii="Times New Roman" w:eastAsia="Times New Roman" w:hAnsi="Times New Roman" w:cs="Times New Roman"/>
                <w:b w:val="0"/>
                <w:i w:val="0"/>
                <w:color w:val="000000"/>
                <w:sz w:val="20"/>
                <w:u w:val="none"/>
              </w:rPr>
              <w:tab/>
              <w:t>(4.4)</w:t>
              <w:tab/>
              <w:t>%</w:t>
            </w:r>
          </w:p>
        </w:tc>
      </w:tr>
      <w:tr>
        <w:tblPrEx>
          <w:tblW w:w="7845"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Tax credits</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7845"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Research and development tax credits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123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86"/>
              </w:tabs>
              <w:spacing w:before="53" w:after="30" w:line="240" w:lineRule="auto"/>
              <w:jc w:val="right"/>
            </w:pPr>
            <w:r>
              <w:rPr>
                <w:rFonts w:ascii="Times New Roman" w:eastAsia="Times New Roman" w:hAnsi="Times New Roman" w:cs="Times New Roman"/>
                <w:b w:val="0"/>
                <w:i w:val="0"/>
                <w:color w:val="000000"/>
                <w:sz w:val="20"/>
                <w:u w:val="none"/>
              </w:rPr>
              <w:tab/>
              <w:t>(1.0)</w:t>
              <w:tab/>
              <w:t>%</w:t>
            </w:r>
          </w:p>
        </w:tc>
      </w:tr>
      <w:tr>
        <w:tblPrEx>
          <w:tblW w:w="7845"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Change in valuation allowance</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2,445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486"/>
              </w:tabs>
              <w:spacing w:before="53" w:after="30" w:line="240" w:lineRule="auto"/>
              <w:jc w:val="right"/>
            </w:pPr>
            <w:r>
              <w:rPr>
                <w:rFonts w:ascii="Times New Roman" w:eastAsia="Times New Roman" w:hAnsi="Times New Roman" w:cs="Times New Roman"/>
                <w:b w:val="0"/>
                <w:i w:val="0"/>
                <w:color w:val="000000"/>
                <w:sz w:val="20"/>
                <w:u w:val="none"/>
              </w:rPr>
              <w:tab/>
              <w:t>(19.6)</w:t>
              <w:tab/>
              <w:t>%</w:t>
            </w:r>
          </w:p>
        </w:tc>
      </w:tr>
      <w:tr>
        <w:tblPrEx>
          <w:tblW w:w="7845"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Nontaxable or nondeductible items</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7845"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Stock compensation</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(102)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19"/>
              </w:tabs>
              <w:spacing w:before="53" w:after="30" w:line="240" w:lineRule="auto"/>
              <w:jc w:val="right"/>
            </w:pPr>
            <w:r>
              <w:rPr>
                <w:rFonts w:ascii="Times New Roman" w:eastAsia="Times New Roman" w:hAnsi="Times New Roman" w:cs="Times New Roman"/>
                <w:b w:val="0"/>
                <w:i w:val="0"/>
                <w:color w:val="000000"/>
                <w:sz w:val="20"/>
                <w:u w:val="none"/>
              </w:rPr>
              <w:tab/>
              <w:t>0.8</w:t>
              <w:tab/>
              <w:t>%</w:t>
            </w:r>
          </w:p>
        </w:tc>
      </w:tr>
      <w:tr>
        <w:tblPrEx>
          <w:tblW w:w="7845"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Officer's compensation limitation</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489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86"/>
              </w:tabs>
              <w:spacing w:before="53" w:after="30" w:line="240" w:lineRule="auto"/>
              <w:jc w:val="right"/>
            </w:pPr>
            <w:r>
              <w:rPr>
                <w:rFonts w:ascii="Times New Roman" w:eastAsia="Times New Roman" w:hAnsi="Times New Roman" w:cs="Times New Roman"/>
                <w:b w:val="0"/>
                <w:i w:val="0"/>
                <w:color w:val="000000"/>
                <w:sz w:val="20"/>
                <w:u w:val="none"/>
              </w:rPr>
              <w:tab/>
              <w:t>(3.9)</w:t>
              <w:tab/>
              <w:t>%</w:t>
            </w:r>
          </w:p>
        </w:tc>
      </w:tr>
      <w:tr>
        <w:tblPrEx>
          <w:tblW w:w="7845"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Impact of deferred tax true up for intangible assets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214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86"/>
              </w:tabs>
              <w:spacing w:before="53" w:after="30" w:line="240" w:lineRule="auto"/>
              <w:jc w:val="right"/>
            </w:pPr>
            <w:r>
              <w:rPr>
                <w:rFonts w:ascii="Times New Roman" w:eastAsia="Times New Roman" w:hAnsi="Times New Roman" w:cs="Times New Roman"/>
                <w:b w:val="0"/>
                <w:i w:val="0"/>
                <w:color w:val="000000"/>
                <w:sz w:val="20"/>
                <w:u w:val="none"/>
              </w:rPr>
              <w:tab/>
              <w:t>(1.7)</w:t>
              <w:tab/>
              <w:t>%</w:t>
            </w:r>
          </w:p>
        </w:tc>
      </w:tr>
      <w:tr>
        <w:tblPrEx>
          <w:tblW w:w="7845"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Impact of deferred tax true up for stock compensation</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147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86"/>
              </w:tabs>
              <w:spacing w:before="53" w:after="30" w:line="240" w:lineRule="auto"/>
              <w:jc w:val="right"/>
            </w:pPr>
            <w:r>
              <w:rPr>
                <w:rFonts w:ascii="Times New Roman" w:eastAsia="Times New Roman" w:hAnsi="Times New Roman" w:cs="Times New Roman"/>
                <w:b w:val="0"/>
                <w:i w:val="0"/>
                <w:color w:val="000000"/>
                <w:sz w:val="20"/>
                <w:u w:val="none"/>
              </w:rPr>
              <w:tab/>
              <w:t>(1.2)</w:t>
              <w:tab/>
              <w:t>%</w:t>
            </w:r>
          </w:p>
        </w:tc>
      </w:tr>
      <w:tr>
        <w:tblPrEx>
          <w:tblW w:w="7845"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Impact of asset acquisitions on deferred taxes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(712)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19"/>
              </w:tabs>
              <w:spacing w:before="53" w:after="30" w:line="240" w:lineRule="auto"/>
              <w:jc w:val="right"/>
            </w:pPr>
            <w:r>
              <w:rPr>
                <w:rFonts w:ascii="Times New Roman" w:eastAsia="Times New Roman" w:hAnsi="Times New Roman" w:cs="Times New Roman"/>
                <w:b w:val="0"/>
                <w:i w:val="0"/>
                <w:color w:val="000000"/>
                <w:sz w:val="20"/>
                <w:u w:val="none"/>
              </w:rPr>
              <w:tab/>
              <w:t>5.7</w:t>
              <w:tab/>
              <w:t>%</w:t>
            </w:r>
          </w:p>
        </w:tc>
      </w:tr>
      <w:tr>
        <w:tblPrEx>
          <w:tblW w:w="7845"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Changes in unrecognized tax benefits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19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386"/>
              </w:tabs>
              <w:spacing w:before="53" w:after="30" w:line="240" w:lineRule="auto"/>
              <w:jc w:val="right"/>
            </w:pPr>
            <w:r>
              <w:rPr>
                <w:rFonts w:ascii="Times New Roman" w:eastAsia="Times New Roman" w:hAnsi="Times New Roman" w:cs="Times New Roman"/>
                <w:b w:val="0"/>
                <w:i w:val="0"/>
                <w:color w:val="000000"/>
                <w:sz w:val="20"/>
                <w:u w:val="none"/>
              </w:rPr>
              <w:tab/>
              <w:t>(0.1)</w:t>
              <w:tab/>
              <w:t>%</w:t>
            </w:r>
          </w:p>
        </w:tc>
      </w:tr>
      <w:tr>
        <w:tblPrEx>
          <w:tblW w:w="7845"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Other adjustments</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99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
                <w:tab w:val="left" w:pos="386"/>
              </w:tabs>
              <w:spacing w:before="53" w:after="30" w:line="240" w:lineRule="auto"/>
              <w:jc w:val="right"/>
            </w:pPr>
            <w:r>
              <w:rPr>
                <w:rFonts w:ascii="Times New Roman" w:eastAsia="Times New Roman" w:hAnsi="Times New Roman" w:cs="Times New Roman"/>
                <w:b w:val="0"/>
                <w:i w:val="0"/>
                <w:color w:val="000000"/>
                <w:sz w:val="20"/>
                <w:u w:val="none"/>
              </w:rPr>
              <w:tab/>
              <w:t>(0.8)</w:t>
              <w:tab/>
              <w:t>%</w:t>
            </w:r>
          </w:p>
        </w:tc>
      </w:tr>
      <w:tr>
        <w:tblPrEx>
          <w:tblW w:w="7845" w:type="dxa"/>
          <w:tblLayout w:type="fixed"/>
        </w:tblPrEx>
        <w:trPr>
          <w:cantSplit/>
          <w:trHeight w:hRule="exact" w:val="315"/>
        </w:trPr>
        <w:tc>
          <w:tcPr>
            <w:tcW w:w="480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652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
                <w:tab w:val="left" w:pos="386"/>
              </w:tabs>
              <w:spacing w:before="33" w:after="30" w:line="240" w:lineRule="auto"/>
              <w:jc w:val="right"/>
            </w:pPr>
            <w:r>
              <w:rPr>
                <w:rFonts w:ascii="Times New Roman" w:eastAsia="Times New Roman" w:hAnsi="Times New Roman" w:cs="Times New Roman"/>
                <w:b w:val="0"/>
                <w:i w:val="0"/>
                <w:color w:val="000000"/>
                <w:sz w:val="20"/>
                <w:u w:val="none"/>
              </w:rPr>
              <w:tab/>
              <w:t>(5.2)</w:t>
              <w:tab/>
              <w:t>%</w:t>
            </w:r>
          </w:p>
        </w:tc>
      </w:tr>
    </w:tbl>
    <w:p>
      <w:pPr>
        <w:keepNext/>
        <w:keepLines/>
        <w:pageBreakBefore w:val="0"/>
        <w:widowControl w:val="0"/>
        <w:numPr>
          <w:ilvl w:val="0"/>
          <w:numId w:val="20"/>
        </w:numPr>
        <w:spacing w:before="0" w:after="0" w:line="288" w:lineRule="auto"/>
        <w:ind w:left="720" w:right="0" w:hanging="720"/>
        <w:jc w:val="both"/>
        <w:outlineLvl w:val="9"/>
        <w:rPr>
          <w:rFonts w:ascii="Times New Roman" w:eastAsia="Times New Roman" w:hAnsi="Times New Roman" w:cs="Times New Roman"/>
          <w:b w:val="0"/>
          <w:i w:val="0"/>
          <w:color w:val="000000"/>
          <w:sz w:val="18"/>
          <w:u w:val="none"/>
        </w:rPr>
      </w:pPr>
      <w:r>
        <w:rPr>
          <w:rFonts w:ascii="Times New Roman" w:eastAsia="Times New Roman" w:hAnsi="Times New Roman" w:cs="Times New Roman"/>
          <w:b w:val="0"/>
          <w:i w:val="0"/>
          <w:color w:val="000000"/>
          <w:sz w:val="18"/>
          <w:u w:val="none"/>
        </w:rPr>
        <w:t>The state and local jurisdictions that contribute to the majority (greater than 50%) of the tax effect in this category include New York State, New York City, the New York Metropolitan Commuter Transportation District, New Jersey, and California.</w:t>
      </w:r>
      <w:r>
        <w:rPr>
          <w:rFonts w:ascii="Times New Roman" w:eastAsia="Times New Roman" w:hAnsi="Times New Roman" w:cs="Times New Roman"/>
          <w:b w:val="0"/>
          <w:i w:val="0"/>
          <w:color w:val="000000"/>
          <w:sz w:val="20"/>
          <w:u w:val="none"/>
        </w:rPr>
        <w:t xml:space="preserve"> </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reconciliation of taxes at the federal statutory</w:t>
      </w:r>
      <w:r>
        <w:rPr>
          <w:rFonts w:ascii="Times New Roman" w:eastAsia="Times New Roman" w:hAnsi="Times New Roman" w:cs="Times New Roman"/>
          <w:b w:val="0"/>
          <w:i w:val="0"/>
          <w:color w:val="000000"/>
          <w:sz w:val="20"/>
          <w:highlight w:val="white"/>
          <w:u w:val="none"/>
        </w:rPr>
        <w:t xml:space="preserve"> income tax rate of </w:t>
      </w:r>
      <w:r>
        <w:rPr>
          <w:rFonts w:ascii="Times New Roman" w:eastAsia="Times New Roman" w:hAnsi="Times New Roman" w:cs="Times New Roman"/>
          <w:b w:val="0"/>
          <w:i w:val="0"/>
          <w:color w:val="000000"/>
          <w:sz w:val="20"/>
          <w:highlight w:val="white"/>
          <w:u w:val="none"/>
        </w:rPr>
        <w:t>21%</w:t>
      </w:r>
      <w:r>
        <w:rPr>
          <w:rFonts w:ascii="Times New Roman" w:eastAsia="Times New Roman" w:hAnsi="Times New Roman" w:cs="Times New Roman"/>
          <w:b w:val="0"/>
          <w:i w:val="0"/>
          <w:color w:val="000000"/>
          <w:sz w:val="20"/>
          <w:highlight w:val="white"/>
          <w:u w:val="none"/>
        </w:rPr>
        <w:t xml:space="preserve"> to our </w:t>
      </w:r>
      <w:r>
        <w:rPr>
          <w:rFonts w:ascii="Times New Roman" w:eastAsia="Times New Roman" w:hAnsi="Times New Roman" w:cs="Times New Roman"/>
          <w:b w:val="0"/>
          <w:i w:val="0"/>
          <w:color w:val="000000"/>
          <w:sz w:val="20"/>
          <w:u w:val="none"/>
        </w:rPr>
        <w:t>provision for</w:t>
      </w:r>
      <w:r>
        <w:rPr>
          <w:rFonts w:ascii="Times New Roman" w:eastAsia="Times New Roman" w:hAnsi="Times New Roman" w:cs="Times New Roman"/>
          <w:b w:val="0"/>
          <w:i w:val="0"/>
          <w:color w:val="000000"/>
          <w:sz w:val="20"/>
          <w:highlight w:val="white"/>
          <w:u w:val="none"/>
        </w:rPr>
        <w:t xml:space="preserve"> income taxes for the year ended </w:t>
      </w:r>
      <w:r>
        <w:rPr>
          <w:rFonts w:ascii="Times New Roman" w:eastAsia="Times New Roman" w:hAnsi="Times New Roman" w:cs="Times New Roman"/>
          <w:b w:val="0"/>
          <w:i w:val="0"/>
          <w:color w:val="000000"/>
          <w:sz w:val="20"/>
          <w:u w:val="none"/>
        </w:rPr>
        <w:t>December 31, 2024,</w:t>
      </w:r>
      <w:r>
        <w:rPr>
          <w:rFonts w:ascii="Times New Roman" w:eastAsia="Times New Roman" w:hAnsi="Times New Roman" w:cs="Times New Roman"/>
          <w:b w:val="0"/>
          <w:i w:val="0"/>
          <w:color w:val="000000"/>
          <w:sz w:val="20"/>
          <w:highlight w:val="white"/>
          <w:u w:val="none"/>
        </w:rPr>
        <w:t xml:space="preserve"> in accordance with the guidance prior to the adoption of ASU 2023-09 was as follows:</w:t>
      </w:r>
    </w:p>
    <w:tbl>
      <w:tblPr>
        <w:tblW w:w="6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205"/>
        <w:gridCol w:w="1485"/>
      </w:tblGrid>
      <w:tr>
        <w:tblPrEx>
          <w:tblW w:w="6690" w:type="dxa"/>
          <w:tblLayout w:type="fixed"/>
        </w:tblPrEx>
        <w:trPr>
          <w:cantSplit/>
          <w:trHeight w:hRule="exact" w:val="315"/>
        </w:trPr>
        <w:tc>
          <w:tcPr>
            <w:tcW w:w="52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2024</w:t>
            </w:r>
          </w:p>
        </w:tc>
      </w:tr>
      <w:tr>
        <w:tblPrEx>
          <w:tblW w:w="6690" w:type="dxa"/>
          <w:tblLayout w:type="fixed"/>
        </w:tblPrEx>
        <w:trPr>
          <w:cantSplit/>
          <w:trHeight w:hRule="exact" w:val="31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Computed at statutory rate</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16"/>
              </w:tabs>
              <w:spacing w:before="33" w:after="30" w:line="240" w:lineRule="auto"/>
              <w:jc w:val="right"/>
            </w:pPr>
            <w:r>
              <w:rPr>
                <w:rFonts w:ascii="Times New Roman" w:eastAsia="Times New Roman" w:hAnsi="Times New Roman" w:cs="Times New Roman"/>
                <w:b w:val="0"/>
                <w:i w:val="0"/>
                <w:color w:val="000000"/>
                <w:sz w:val="20"/>
                <w:u w:val="none"/>
              </w:rPr>
              <w:t>$</w:t>
              <w:tab/>
              <w:t>(2,276)</w:t>
            </w:r>
          </w:p>
        </w:tc>
      </w:tr>
      <w:tr>
        <w:tblPrEx>
          <w:tblW w:w="6690" w:type="dxa"/>
          <w:tblLayout w:type="fixed"/>
        </w:tblPrEx>
        <w:trPr>
          <w:cantSplit/>
          <w:trHeight w:hRule="exact" w:val="31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State tax, net of federal benefit</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(377)</w:t>
            </w:r>
          </w:p>
        </w:tc>
      </w:tr>
      <w:tr>
        <w:tblPrEx>
          <w:tblW w:w="6690" w:type="dxa"/>
          <w:tblLayout w:type="fixed"/>
        </w:tblPrEx>
        <w:trPr>
          <w:cantSplit/>
          <w:trHeight w:hRule="exact" w:val="31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Permanent items and other</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76</w:t>
              <w:tab/>
            </w:r>
          </w:p>
        </w:tc>
      </w:tr>
      <w:tr>
        <w:tblPrEx>
          <w:tblW w:w="6690" w:type="dxa"/>
          <w:tblLayout w:type="fixed"/>
        </w:tblPrEx>
        <w:trPr>
          <w:cantSplit/>
          <w:trHeight w:hRule="exact" w:val="31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Officer’s compensation limitation</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345</w:t>
              <w:tab/>
            </w:r>
          </w:p>
        </w:tc>
      </w:tr>
      <w:tr>
        <w:tblPrEx>
          <w:tblW w:w="6690" w:type="dxa"/>
          <w:tblLayout w:type="fixed"/>
        </w:tblPrEx>
        <w:trPr>
          <w:cantSplit/>
          <w:trHeight w:hRule="exact" w:val="31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Stock compensation</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109</w:t>
              <w:tab/>
            </w:r>
          </w:p>
        </w:tc>
      </w:tr>
      <w:tr>
        <w:tblPrEx>
          <w:tblW w:w="6690" w:type="dxa"/>
          <w:tblLayout w:type="fixed"/>
        </w:tblPrEx>
        <w:trPr>
          <w:cantSplit/>
          <w:trHeight w:hRule="exact" w:val="31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Credit carryforwards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759</w:t>
              <w:tab/>
            </w:r>
          </w:p>
        </w:tc>
      </w:tr>
      <w:tr>
        <w:tblPrEx>
          <w:tblW w:w="6690" w:type="dxa"/>
          <w:tblLayout w:type="fixed"/>
        </w:tblPrEx>
        <w:trPr>
          <w:cantSplit/>
          <w:trHeight w:hRule="exact" w:val="31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Change in valuation allowance</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2,297</w:t>
              <w:tab/>
            </w:r>
          </w:p>
        </w:tc>
      </w:tr>
      <w:tr>
        <w:tblPrEx>
          <w:tblW w:w="6690" w:type="dxa"/>
          <w:tblLayout w:type="fixed"/>
        </w:tblPrEx>
        <w:trPr>
          <w:cantSplit/>
          <w:trHeight w:hRule="exact" w:val="315"/>
        </w:trPr>
        <w:tc>
          <w:tcPr>
            <w:tcW w:w="520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933</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Deferred income taxes reflect the net tax effects of temporary differences between the carrying amounts of assets and liabilities for financial reporting purposes and the amounts used for income tax purposes. </w:t>
      </w:r>
      <w:r>
        <w:rPr>
          <w:rFonts w:ascii="Times New Roman" w:eastAsia="Times New Roman" w:hAnsi="Times New Roman" w:cs="Times New Roman"/>
          <w:b w:val="0"/>
          <w:i w:val="0"/>
          <w:color w:val="000000"/>
          <w:sz w:val="20"/>
          <w:u w:val="none"/>
        </w:rPr>
        <w:t>Significant components of our deferred taxes for the years ended December 31, 2025 and 2024, are as follows (in thousands):</w:t>
      </w: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485"/>
        <w:gridCol w:w="75"/>
        <w:gridCol w:w="1485"/>
      </w:tblGrid>
      <w:tr>
        <w:tblPrEx>
          <w:tblW w:w="7830" w:type="dxa"/>
          <w:tblLayout w:type="fixed"/>
        </w:tblPrEx>
        <w:trPr>
          <w:cantSplit/>
          <w:trHeight w:hRule="exact" w:val="315"/>
        </w:trPr>
        <w:tc>
          <w:tcPr>
            <w:tcW w:w="47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2024</w:t>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i w:val="0"/>
                <w:color w:val="000000"/>
                <w:sz w:val="20"/>
                <w:u w:val="none"/>
              </w:rPr>
              <w:t>Deferred tax assets</w:t>
            </w: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Net operating losses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12,415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10,914</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Research and development credit carryforwards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3,402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3,500</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Stock compensation</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2,291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2,135</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Fixed assets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60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24</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Capitalized Software</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3,443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3,254</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Acquired intangibles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6,124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2,722</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Lease liabilities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1,962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1,314</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Accrued expenses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2,460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2,244</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Deferred revenue</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1,192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326</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Other</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34</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ind w:left="120"/>
              <w:jc w:val="left"/>
            </w:pPr>
            <w:r>
              <w:rPr>
                <w:rFonts w:ascii="Times New Roman" w:eastAsia="Times New Roman" w:hAnsi="Times New Roman" w:cs="Times New Roman"/>
                <w:b w:val="0"/>
                <w:i w:val="0"/>
                <w:color w:val="000000"/>
                <w:sz w:val="20"/>
                <w:u w:val="none"/>
              </w:rPr>
              <w:t>Gross deferred tax assets</w:t>
            </w:r>
          </w:p>
        </w:tc>
        <w:tc>
          <w:tcPr>
            <w:tcW w:w="148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33,349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26,467</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Less: Valuation allowance</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16"/>
              </w:tabs>
              <w:spacing w:before="53" w:after="30" w:line="240" w:lineRule="auto"/>
              <w:jc w:val="right"/>
            </w:pPr>
            <w:r>
              <w:rPr>
                <w:rFonts w:ascii="Times New Roman" w:eastAsia="Times New Roman" w:hAnsi="Times New Roman" w:cs="Times New Roman"/>
                <w:b w:val="0"/>
                <w:i w:val="0"/>
                <w:color w:val="000000"/>
                <w:sz w:val="20"/>
                <w:u w:val="none"/>
              </w:rPr>
              <w:tab/>
              <w:t>(22,538)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16"/>
              </w:tabs>
              <w:spacing w:before="53" w:after="30" w:line="240" w:lineRule="auto"/>
              <w:jc w:val="right"/>
            </w:pPr>
            <w:r>
              <w:rPr>
                <w:rFonts w:ascii="Times New Roman" w:eastAsia="Times New Roman" w:hAnsi="Times New Roman" w:cs="Times New Roman"/>
                <w:b w:val="0"/>
                <w:i w:val="0"/>
                <w:color w:val="000000"/>
                <w:sz w:val="20"/>
                <w:u w:val="none"/>
              </w:rPr>
              <w:tab/>
              <w:t>(18,497)</w:t>
            </w: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deferred tax assets</w:t>
            </w:r>
          </w:p>
        </w:tc>
        <w:tc>
          <w:tcPr>
            <w:tcW w:w="148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10,811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7,970</w:t>
              <w:tab/>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Deferred tax liabilities</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Deferred commissions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16"/>
              </w:tabs>
              <w:spacing w:before="53" w:after="30" w:line="240" w:lineRule="auto"/>
              <w:jc w:val="right"/>
            </w:pPr>
            <w:r>
              <w:rPr>
                <w:rFonts w:ascii="Times New Roman" w:eastAsia="Times New Roman" w:hAnsi="Times New Roman" w:cs="Times New Roman"/>
                <w:b w:val="0"/>
                <w:i w:val="0"/>
                <w:color w:val="000000"/>
                <w:sz w:val="20"/>
                <w:u w:val="none"/>
              </w:rPr>
              <w:t>$</w:t>
              <w:tab/>
              <w:t>(4,024)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16"/>
              </w:tabs>
              <w:spacing w:before="53" w:after="30" w:line="240" w:lineRule="auto"/>
              <w:jc w:val="right"/>
            </w:pPr>
            <w:r>
              <w:rPr>
                <w:rFonts w:ascii="Times New Roman" w:eastAsia="Times New Roman" w:hAnsi="Times New Roman" w:cs="Times New Roman"/>
                <w:b w:val="0"/>
                <w:i w:val="0"/>
                <w:color w:val="000000"/>
                <w:sz w:val="20"/>
                <w:u w:val="none"/>
              </w:rPr>
              <w:t>$</w:t>
              <w:tab/>
              <w:t>(3,236)</w:t>
            </w: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Goodwill</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16"/>
              </w:tabs>
              <w:spacing w:before="53" w:after="30" w:line="240" w:lineRule="auto"/>
              <w:jc w:val="right"/>
            </w:pPr>
            <w:r>
              <w:rPr>
                <w:rFonts w:ascii="Times New Roman" w:eastAsia="Times New Roman" w:hAnsi="Times New Roman" w:cs="Times New Roman"/>
                <w:b w:val="0"/>
                <w:i w:val="0"/>
                <w:color w:val="000000"/>
                <w:sz w:val="20"/>
                <w:u w:val="none"/>
              </w:rPr>
              <w:tab/>
              <w:t>(8,403)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16"/>
              </w:tabs>
              <w:spacing w:before="53" w:after="30" w:line="240" w:lineRule="auto"/>
              <w:jc w:val="right"/>
            </w:pPr>
            <w:r>
              <w:rPr>
                <w:rFonts w:ascii="Times New Roman" w:eastAsia="Times New Roman" w:hAnsi="Times New Roman" w:cs="Times New Roman"/>
                <w:b w:val="0"/>
                <w:i w:val="0"/>
                <w:color w:val="000000"/>
                <w:sz w:val="20"/>
                <w:u w:val="none"/>
              </w:rPr>
              <w:tab/>
              <w:t>(6,287)</w:t>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Right-of-use assets</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s>
              <w:spacing w:before="53" w:after="30" w:line="240" w:lineRule="auto"/>
              <w:jc w:val="right"/>
            </w:pPr>
            <w:r>
              <w:rPr>
                <w:rFonts w:ascii="Times New Roman" w:eastAsia="Times New Roman" w:hAnsi="Times New Roman" w:cs="Times New Roman"/>
                <w:b w:val="0"/>
                <w:i w:val="0"/>
                <w:color w:val="000000"/>
                <w:sz w:val="20"/>
                <w:u w:val="none"/>
              </w:rPr>
              <w:tab/>
              <w:t>(1,648)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s>
              <w:spacing w:before="53" w:after="30" w:line="240" w:lineRule="auto"/>
              <w:jc w:val="right"/>
            </w:pPr>
            <w:r>
              <w:rPr>
                <w:rFonts w:ascii="Times New Roman" w:eastAsia="Times New Roman" w:hAnsi="Times New Roman" w:cs="Times New Roman"/>
                <w:b w:val="0"/>
                <w:i w:val="0"/>
                <w:color w:val="000000"/>
                <w:sz w:val="20"/>
                <w:u w:val="none"/>
              </w:rPr>
              <w:tab/>
              <w:t>(1,059)</w:t>
            </w: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deferred tax liabilities</w:t>
            </w:r>
          </w:p>
        </w:tc>
        <w:tc>
          <w:tcPr>
            <w:tcW w:w="148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6"/>
              </w:tabs>
              <w:spacing w:before="33" w:after="30" w:line="240" w:lineRule="auto"/>
              <w:jc w:val="right"/>
            </w:pPr>
            <w:r>
              <w:rPr>
                <w:rFonts w:ascii="Times New Roman" w:eastAsia="Times New Roman" w:hAnsi="Times New Roman" w:cs="Times New Roman"/>
                <w:b w:val="0"/>
                <w:i w:val="0"/>
                <w:color w:val="000000"/>
                <w:sz w:val="20"/>
                <w:u w:val="none"/>
              </w:rPr>
              <w:t>$</w:t>
              <w:tab/>
              <w:t>(14,075)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6"/>
              </w:tabs>
              <w:spacing w:before="33" w:after="30" w:line="240" w:lineRule="auto"/>
              <w:jc w:val="right"/>
            </w:pPr>
            <w:r>
              <w:rPr>
                <w:rFonts w:ascii="Times New Roman" w:eastAsia="Times New Roman" w:hAnsi="Times New Roman" w:cs="Times New Roman"/>
                <w:b w:val="0"/>
                <w:i w:val="0"/>
                <w:color w:val="000000"/>
                <w:sz w:val="20"/>
                <w:u w:val="none"/>
              </w:rPr>
              <w:t>$</w:t>
              <w:tab/>
              <w:t>(10,582)</w:t>
            </w:r>
          </w:p>
        </w:tc>
      </w:tr>
      <w:tr>
        <w:tblPrEx>
          <w:tblW w:w="7830" w:type="dxa"/>
          <w:tblLayout w:type="fixed"/>
        </w:tblPrEx>
        <w:trPr>
          <w:cantSplit/>
          <w:trHeight w:hRule="exact" w:val="315"/>
        </w:trPr>
        <w:tc>
          <w:tcPr>
            <w:tcW w:w="47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7830" w:type="dxa"/>
          <w:tblLayout w:type="fixed"/>
        </w:tblPrEx>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Net deferred tax liabilities</w:t>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816"/>
              </w:tabs>
              <w:spacing w:before="33" w:after="30" w:line="240" w:lineRule="auto"/>
              <w:jc w:val="right"/>
            </w:pPr>
            <w:r>
              <w:rPr>
                <w:rFonts w:ascii="Times New Roman" w:eastAsia="Times New Roman" w:hAnsi="Times New Roman" w:cs="Times New Roman"/>
                <w:b w:val="0"/>
                <w:i w:val="0"/>
                <w:color w:val="000000"/>
                <w:sz w:val="20"/>
                <w:u w:val="none"/>
              </w:rPr>
              <w:t>$</w:t>
              <w:tab/>
              <w:t>(3,264)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816"/>
              </w:tabs>
              <w:spacing w:before="33" w:after="30" w:line="240" w:lineRule="auto"/>
              <w:jc w:val="right"/>
            </w:pPr>
            <w:r>
              <w:rPr>
                <w:rFonts w:ascii="Times New Roman" w:eastAsia="Times New Roman" w:hAnsi="Times New Roman" w:cs="Times New Roman"/>
                <w:b w:val="0"/>
                <w:i w:val="0"/>
                <w:color w:val="000000"/>
                <w:sz w:val="20"/>
                <w:u w:val="none"/>
              </w:rPr>
              <w:t>$</w:t>
              <w:tab/>
              <w:t>(2,612)</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highlight w:val="white"/>
          <w:u w:val="none"/>
        </w:rPr>
        <w:t xml:space="preserve">At December 31, 2025, </w:t>
      </w:r>
      <w:r>
        <w:rPr>
          <w:rFonts w:ascii="Times New Roman" w:eastAsia="Times New Roman" w:hAnsi="Times New Roman" w:cs="Times New Roman"/>
          <w:b w:val="0"/>
          <w:i w:val="0"/>
          <w:color w:val="000000"/>
          <w:sz w:val="20"/>
          <w:u w:val="none"/>
        </w:rPr>
        <w:t>we</w:t>
      </w:r>
      <w:r>
        <w:rPr>
          <w:rFonts w:ascii="Times New Roman" w:eastAsia="Times New Roman" w:hAnsi="Times New Roman" w:cs="Times New Roman"/>
          <w:b w:val="0"/>
          <w:i w:val="0"/>
          <w:color w:val="000000"/>
          <w:sz w:val="20"/>
          <w:highlight w:val="white"/>
          <w:u w:val="none"/>
        </w:rPr>
        <w:t xml:space="preserve"> had federal net operating loss carryforwards of $51,259 and research and development credit carryforwards of $3,448.</w:t>
      </w:r>
      <w:r>
        <w:rPr>
          <w:rFonts w:ascii="Times New Roman" w:eastAsia="Times New Roman" w:hAnsi="Times New Roman" w:cs="Times New Roman"/>
          <w:b w:val="0"/>
          <w:i w:val="0"/>
          <w:color w:val="000000"/>
          <w:sz w:val="20"/>
          <w:u w:val="none"/>
        </w:rPr>
        <w:t xml:space="preserve"> We also had state net operating loss carryforwards of $29,197 and state tax credit carryforwards of $567. The net operating lo</w:t>
      </w:r>
      <w:r>
        <w:rPr>
          <w:rFonts w:ascii="Times New Roman" w:eastAsia="Times New Roman" w:hAnsi="Times New Roman" w:cs="Times New Roman"/>
          <w:b w:val="0"/>
          <w:i w:val="0"/>
          <w:color w:val="000000"/>
          <w:sz w:val="20"/>
          <w:highlight w:val="white"/>
          <w:u w:val="none"/>
        </w:rPr>
        <w:t>ss and research and development credit carryforwards will expire in varying amounts from 2026 through 2042, if not utilized. Approximately $23,706 of the federal net operating loss carryforwards carry forward indefinitely, but can only offset up to 80% of taxable income.</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As a result of various acquisitions by us in prior years, we may be subject to a substantial annual limitation in the utilization of the net operating losses and credit carryforwards due to the “change in ownership” provisions of Section 382 of the Internal Revenue Code of 1986. The annual limitation may result in the expiration of net operating losses before utilization. However, based on our analysis, we do not expect any material net operating losses to expire prior to utilization.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Due to the uncertainty surrounding the timing of realizing the benefits of our favorable tax attributes in future tax returns, we have placed a valuation allowance against our net deferred tax assets, exclusive of jurisdictions in which we have net deferred tax liabiliti</w:t>
      </w:r>
      <w:r>
        <w:rPr>
          <w:rFonts w:ascii="Times New Roman" w:eastAsia="Times New Roman" w:hAnsi="Times New Roman" w:cs="Times New Roman"/>
          <w:b w:val="0"/>
          <w:i w:val="0"/>
          <w:color w:val="000000"/>
          <w:sz w:val="20"/>
          <w:highlight w:val="white"/>
          <w:u w:val="none"/>
        </w:rPr>
        <w:t>es. During the year ended December 31, 2025, the valuation allowance increased by $4,041 due primarily to operations.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Under ASC 740-10, Income Taxes, we periodically review the uncertainties and judgments related to the application of complex income tax regulations to determine income tax liabilities in several jurisdictions. We use a “more likely than not” criterion for recognizing an asset for unrecognized income tax benefits or a liability for uncertain tax positions. We have determined it has the following unrecognized assets or liabilities related to uncertain tax positions as of December 31, 2025. We do not anticipate any significant changes in such uncertainties and judgments during the next twelve months. To the extent we are required to recognize interest and penalties related to unrecognized tax liabilities, this amount will be recorded as an accrued liability. </w:t>
      </w:r>
      <w:r>
        <w:rPr>
          <w:rFonts w:ascii="Times New Roman" w:eastAsia="Times New Roman" w:hAnsi="Times New Roman" w:cs="Times New Roman"/>
          <w:b w:val="0"/>
          <w:i w:val="0"/>
          <w:color w:val="000000"/>
          <w:sz w:val="20"/>
          <w:u w:val="none"/>
        </w:rPr>
        <w:t>The reconciliation of our unrecognized tax benefits is as follows: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8685"/>
        <w:gridCol w:w="1575"/>
      </w:tblGrid>
      <w:tr>
        <w:tblPrEx>
          <w:tblW w:w="10260" w:type="dxa"/>
          <w:tblLayout w:type="fixed"/>
        </w:tblPrEx>
        <w:trPr>
          <w:cantSplit/>
          <w:trHeight w:hRule="exact" w:val="315"/>
        </w:trPr>
        <w:tc>
          <w:tcPr>
            <w:tcW w:w="86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Balance at December 31, 2023</w:t>
            </w: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649</w:t>
              <w:tab/>
            </w:r>
          </w:p>
        </w:tc>
      </w:tr>
      <w:tr>
        <w:tblPrEx>
          <w:tblW w:w="10260" w:type="dxa"/>
          <w:tblLayout w:type="fixed"/>
        </w:tblPrEx>
        <w:trPr>
          <w:cantSplit/>
          <w:trHeight w:hRule="exact" w:val="315"/>
        </w:trPr>
        <w:tc>
          <w:tcPr>
            <w:tcW w:w="86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Additions based on tax positions related to the current year</w:t>
            </w: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Layout w:type="fixed"/>
        </w:tblPrEx>
        <w:trPr>
          <w:cantSplit/>
          <w:trHeight w:hRule="exact" w:val="315"/>
        </w:trPr>
        <w:tc>
          <w:tcPr>
            <w:tcW w:w="86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Additions for tax positions of prior years</w:t>
            </w: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Layout w:type="fixed"/>
        </w:tblPrEx>
        <w:trPr>
          <w:cantSplit/>
          <w:trHeight w:hRule="exact" w:val="315"/>
        </w:trPr>
        <w:tc>
          <w:tcPr>
            <w:tcW w:w="86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Reductions for tax positions of prior years</w:t>
            </w:r>
          </w:p>
        </w:tc>
        <w:tc>
          <w:tcPr>
            <w:tcW w:w="15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6"/>
              </w:tabs>
              <w:spacing w:before="53" w:after="30" w:line="240" w:lineRule="auto"/>
              <w:jc w:val="right"/>
            </w:pPr>
            <w:r>
              <w:rPr>
                <w:rFonts w:ascii="Times New Roman" w:eastAsia="Times New Roman" w:hAnsi="Times New Roman" w:cs="Times New Roman"/>
                <w:b w:val="0"/>
                <w:i w:val="0"/>
                <w:color w:val="000000"/>
                <w:sz w:val="20"/>
                <w:u w:val="none"/>
              </w:rPr>
              <w:tab/>
              <w:t>(97)</w:t>
            </w:r>
          </w:p>
        </w:tc>
      </w:tr>
      <w:tr>
        <w:tblPrEx>
          <w:tblW w:w="10260" w:type="dxa"/>
          <w:tblLayout w:type="fixed"/>
        </w:tblPrEx>
        <w:trPr>
          <w:cantSplit/>
          <w:trHeight w:hRule="exact" w:val="315"/>
        </w:trPr>
        <w:tc>
          <w:tcPr>
            <w:tcW w:w="86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Balance at December 31, 2024</w:t>
            </w:r>
          </w:p>
        </w:tc>
        <w:tc>
          <w:tcPr>
            <w:tcW w:w="15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42"/>
                <w:tab w:val="left" w:pos="1507"/>
              </w:tabs>
              <w:spacing w:before="33" w:after="30" w:line="240" w:lineRule="auto"/>
              <w:jc w:val="right"/>
            </w:pPr>
            <w:r>
              <w:rPr>
                <w:rFonts w:ascii="Times New Roman" w:eastAsia="Times New Roman" w:hAnsi="Times New Roman" w:cs="Times New Roman"/>
                <w:b w:val="0"/>
                <w:i w:val="0"/>
                <w:color w:val="000000"/>
                <w:sz w:val="20"/>
                <w:u w:val="none"/>
              </w:rPr>
              <w:tab/>
              <w:t>552</w:t>
              <w:tab/>
            </w:r>
          </w:p>
        </w:tc>
      </w:tr>
      <w:tr>
        <w:tblPrEx>
          <w:tblW w:w="10260" w:type="dxa"/>
          <w:tblLayout w:type="fixed"/>
        </w:tblPrEx>
        <w:trPr>
          <w:cantSplit/>
          <w:trHeight w:hRule="exact" w:val="315"/>
        </w:trPr>
        <w:tc>
          <w:tcPr>
            <w:tcW w:w="86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Additions based on tax positions related to the current year</w:t>
            </w: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Layout w:type="fixed"/>
        </w:tblPrEx>
        <w:trPr>
          <w:cantSplit/>
          <w:trHeight w:hRule="exact" w:val="315"/>
        </w:trPr>
        <w:tc>
          <w:tcPr>
            <w:tcW w:w="86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Additions for tax positions of prior years</w:t>
            </w: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Layout w:type="fixed"/>
        </w:tblPrEx>
        <w:trPr>
          <w:cantSplit/>
          <w:trHeight w:hRule="exact" w:val="315"/>
        </w:trPr>
        <w:tc>
          <w:tcPr>
            <w:tcW w:w="86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Reductions for tax positions of prior years</w:t>
            </w:r>
          </w:p>
        </w:tc>
        <w:tc>
          <w:tcPr>
            <w:tcW w:w="15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6"/>
              </w:tabs>
              <w:spacing w:before="53" w:after="30" w:line="240" w:lineRule="auto"/>
              <w:jc w:val="right"/>
            </w:pPr>
            <w:r>
              <w:rPr>
                <w:rFonts w:ascii="Times New Roman" w:eastAsia="Times New Roman" w:hAnsi="Times New Roman" w:cs="Times New Roman"/>
                <w:b w:val="0"/>
                <w:i w:val="0"/>
                <w:color w:val="000000"/>
                <w:sz w:val="20"/>
                <w:u w:val="none"/>
              </w:rPr>
              <w:tab/>
              <w:t>(47)</w:t>
            </w:r>
          </w:p>
        </w:tc>
      </w:tr>
      <w:tr>
        <w:tblPrEx>
          <w:tblW w:w="10260" w:type="dxa"/>
          <w:tblLayout w:type="fixed"/>
        </w:tblPrEx>
        <w:trPr>
          <w:cantSplit/>
          <w:trHeight w:hRule="exact" w:val="315"/>
        </w:trPr>
        <w:tc>
          <w:tcPr>
            <w:tcW w:w="868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Balance at December 31, 2025</w:t>
            </w:r>
          </w:p>
        </w:tc>
        <w:tc>
          <w:tcPr>
            <w:tcW w:w="15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14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505</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highlight w:val="white"/>
          <w:u w:val="none"/>
        </w:rPr>
      </w:pPr>
      <w:r>
        <w:rPr>
          <w:rFonts w:ascii="Times New Roman" w:eastAsia="Times New Roman" w:hAnsi="Times New Roman" w:cs="Times New Roman"/>
          <w:b w:val="0"/>
          <w:i w:val="0"/>
          <w:color w:val="000000"/>
          <w:sz w:val="20"/>
          <w:highlight w:val="white"/>
          <w:u w:val="none"/>
        </w:rPr>
        <w:t xml:space="preserve">As of December 31, 2025, </w:t>
      </w:r>
      <w:r>
        <w:rPr>
          <w:rFonts w:ascii="Times New Roman" w:eastAsia="Times New Roman" w:hAnsi="Times New Roman" w:cs="Times New Roman"/>
          <w:b w:val="0"/>
          <w:i w:val="0"/>
          <w:color w:val="000000"/>
          <w:sz w:val="20"/>
          <w:u w:val="none"/>
        </w:rPr>
        <w:t>we</w:t>
      </w:r>
      <w:r>
        <w:rPr>
          <w:rFonts w:ascii="Times New Roman" w:eastAsia="Times New Roman" w:hAnsi="Times New Roman" w:cs="Times New Roman"/>
          <w:b w:val="0"/>
          <w:i w:val="0"/>
          <w:color w:val="000000"/>
          <w:sz w:val="20"/>
          <w:highlight w:val="white"/>
          <w:u w:val="none"/>
        </w:rPr>
        <w:t xml:space="preserve"> had $505 of unrecognized tax benefits, of which $19 would affect the effective tax rate if recognized.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Our practice is to recognize interest and/or penalties related to income tax matters in inco</w:t>
      </w:r>
      <w:r>
        <w:rPr>
          <w:rFonts w:ascii="Times New Roman" w:eastAsia="Times New Roman" w:hAnsi="Times New Roman" w:cs="Times New Roman"/>
          <w:b w:val="0"/>
          <w:i w:val="0"/>
          <w:color w:val="000000"/>
          <w:sz w:val="20"/>
          <w:highlight w:val="white"/>
          <w:u w:val="none"/>
        </w:rPr>
        <w:t xml:space="preserve">me tax expense. During the twelve months ended December 31, 2025, </w:t>
      </w:r>
      <w:r>
        <w:rPr>
          <w:rFonts w:ascii="Times New Roman" w:eastAsia="Times New Roman" w:hAnsi="Times New Roman" w:cs="Times New Roman"/>
          <w:b w:val="0"/>
          <w:i w:val="0"/>
          <w:color w:val="000000"/>
          <w:sz w:val="20"/>
          <w:u w:val="none"/>
        </w:rPr>
        <w:t>we</w:t>
      </w:r>
      <w:r>
        <w:rPr>
          <w:rFonts w:ascii="Times New Roman" w:eastAsia="Times New Roman" w:hAnsi="Times New Roman" w:cs="Times New Roman"/>
          <w:b w:val="0"/>
          <w:i w:val="0"/>
          <w:color w:val="000000"/>
          <w:sz w:val="20"/>
          <w:highlight w:val="white"/>
          <w:u w:val="none"/>
        </w:rPr>
        <w:t xml:space="preserve"> recognized $0 of interest and penalties in our income tax expense.</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We file tax returns in the U.S. federal jurisdiction and in several state jurisdictions. We are subject to U.S. federal income tax e</w:t>
      </w:r>
      <w:r>
        <w:rPr>
          <w:rFonts w:ascii="Times New Roman" w:eastAsia="Times New Roman" w:hAnsi="Times New Roman" w:cs="Times New Roman"/>
          <w:b w:val="0"/>
          <w:i w:val="0"/>
          <w:color w:val="000000"/>
          <w:sz w:val="20"/>
          <w:highlight w:val="white"/>
          <w:u w:val="none"/>
        </w:rPr>
        <w:t xml:space="preserve">xaminations for years ending on or after December 31, 2022 and are subject to state and local income tax examinations by tax authorities for years ending on or after December 31, 2021. We are not currently under audit for any federal or state jurisdictions. However, since </w:t>
      </w:r>
      <w:r>
        <w:rPr>
          <w:rFonts w:ascii="Times New Roman" w:eastAsia="Times New Roman" w:hAnsi="Times New Roman" w:cs="Times New Roman"/>
          <w:b w:val="0"/>
          <w:i w:val="0"/>
          <w:color w:val="000000"/>
          <w:sz w:val="20"/>
          <w:u w:val="none"/>
        </w:rPr>
        <w:t>we</w:t>
      </w:r>
      <w:r>
        <w:rPr>
          <w:rFonts w:ascii="Times New Roman" w:eastAsia="Times New Roman" w:hAnsi="Times New Roman" w:cs="Times New Roman"/>
          <w:b w:val="0"/>
          <w:i w:val="0"/>
          <w:color w:val="000000"/>
          <w:sz w:val="20"/>
          <w:highlight w:val="white"/>
          <w:u w:val="none"/>
        </w:rPr>
        <w:t xml:space="preserve"> have net operating losses, the taxing authorities have the ability to review tax returns no longer subject to examination and make adjustments to these net operating loss carryforwards.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37" w:name="Section38"/>
      <w:bookmarkEnd w:id="37"/>
    </w:p>
    <w:p>
      <w:pPr>
        <w:keepNext/>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NOTE 11 - </w:t>
      </w:r>
      <w:r>
        <w:rPr>
          <w:rFonts w:ascii="Times New Roman" w:eastAsia="Times New Roman" w:hAnsi="Times New Roman" w:cs="Times New Roman"/>
          <w:b/>
          <w:i w:val="0"/>
          <w:color w:val="000000"/>
          <w:sz w:val="20"/>
          <w:u w:val="none"/>
        </w:rPr>
        <w:t>NET LOSS PER SHARE</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We compute net loss per share based on the weighted average number of common shares outstanding for the period. Diluted net loss per share reflects the maximum dilution that would have resulted from incremental common shares issuable upon the exercise of stock options or vesting of RSUs and in some cases PSUs. In periods of net income, we compute the adjustment to the denominator of our dilutive net earnings per share calculation to include these stock options, RSUs, and PSUs, to the extent that they are not anti-dilutive, using the treasury stock method. In periods of net loss, diluted loss per share is the same as basic loss per share, as all incremental common shares issuable would be anti-dilutive.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sets forth the computation of basic and diluted net loss per common share for the years ended December 31 (in thousands, except per share amounts):</w:t>
      </w: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485"/>
        <w:gridCol w:w="75"/>
        <w:gridCol w:w="1485"/>
      </w:tblGrid>
      <w:tr>
        <w:tblPrEx>
          <w:tblW w:w="7830" w:type="dxa"/>
          <w:tblLayout w:type="fixed"/>
        </w:tblPrEx>
        <w:trPr>
          <w:cantSplit/>
          <w:trHeight w:hRule="exact" w:val="285"/>
        </w:trPr>
        <w:tc>
          <w:tcPr>
            <w:tcW w:w="47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2024</w:t>
            </w:r>
          </w:p>
        </w:tc>
      </w:tr>
      <w:tr>
        <w:tblPrEx>
          <w:tblW w:w="783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Basic:</w:t>
            </w: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783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Net loss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6"/>
              </w:tabs>
              <w:spacing w:before="53" w:after="30" w:line="240" w:lineRule="auto"/>
              <w:jc w:val="right"/>
            </w:pPr>
            <w:r>
              <w:rPr>
                <w:rFonts w:ascii="Times New Roman" w:eastAsia="Times New Roman" w:hAnsi="Times New Roman" w:cs="Times New Roman"/>
                <w:b w:val="0"/>
                <w:i w:val="0"/>
                <w:color w:val="000000"/>
                <w:sz w:val="20"/>
                <w:u w:val="none"/>
              </w:rPr>
              <w:t>$</w:t>
              <w:tab/>
              <w:t>(13,126)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6"/>
              </w:tabs>
              <w:spacing w:before="53" w:after="30" w:line="240" w:lineRule="auto"/>
              <w:jc w:val="right"/>
            </w:pPr>
            <w:r>
              <w:rPr>
                <w:rFonts w:ascii="Times New Roman" w:eastAsia="Times New Roman" w:hAnsi="Times New Roman" w:cs="Times New Roman"/>
                <w:b w:val="0"/>
                <w:i w:val="0"/>
                <w:color w:val="000000"/>
                <w:sz w:val="20"/>
                <w:u w:val="none"/>
              </w:rPr>
              <w:t>$</w:t>
              <w:tab/>
              <w:t>(11,773)</w:t>
            </w:r>
          </w:p>
        </w:tc>
      </w:tr>
      <w:tr>
        <w:tblPrEx>
          <w:tblW w:w="783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Weighted-average shares of common stock outstanding</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27,430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26,054</w:t>
              <w:tab/>
            </w:r>
          </w:p>
        </w:tc>
      </w:tr>
      <w:tr>
        <w:tblPrEx>
          <w:tblW w:w="783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Basic loss per share</w:t>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916"/>
              </w:tabs>
              <w:spacing w:before="33" w:after="30" w:line="240" w:lineRule="auto"/>
              <w:jc w:val="right"/>
            </w:pPr>
            <w:r>
              <w:rPr>
                <w:rFonts w:ascii="Times New Roman" w:eastAsia="Times New Roman" w:hAnsi="Times New Roman" w:cs="Times New Roman"/>
                <w:b w:val="0"/>
                <w:i w:val="0"/>
                <w:color w:val="000000"/>
                <w:sz w:val="20"/>
                <w:u w:val="none"/>
              </w:rPr>
              <w:t>$</w:t>
              <w:tab/>
              <w:t>(0.48)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916"/>
              </w:tabs>
              <w:spacing w:before="33" w:after="30" w:line="240" w:lineRule="auto"/>
              <w:jc w:val="right"/>
            </w:pPr>
            <w:r>
              <w:rPr>
                <w:rFonts w:ascii="Times New Roman" w:eastAsia="Times New Roman" w:hAnsi="Times New Roman" w:cs="Times New Roman"/>
                <w:b w:val="0"/>
                <w:i w:val="0"/>
                <w:color w:val="000000"/>
                <w:sz w:val="20"/>
                <w:u w:val="none"/>
              </w:rPr>
              <w:t>$</w:t>
              <w:tab/>
              <w:t>(0.45)</w:t>
            </w:r>
          </w:p>
        </w:tc>
      </w:tr>
      <w:tr>
        <w:tblPrEx>
          <w:tblW w:w="7830" w:type="dxa"/>
          <w:tblLayout w:type="fixed"/>
        </w:tblPrEx>
        <w:trPr>
          <w:cantSplit/>
          <w:trHeight w:hRule="exact" w:val="285"/>
        </w:trPr>
        <w:tc>
          <w:tcPr>
            <w:tcW w:w="47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783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Diluted:</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783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Net loss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6"/>
              </w:tabs>
              <w:spacing w:before="53" w:after="30" w:line="240" w:lineRule="auto"/>
              <w:jc w:val="right"/>
            </w:pPr>
            <w:r>
              <w:rPr>
                <w:rFonts w:ascii="Times New Roman" w:eastAsia="Times New Roman" w:hAnsi="Times New Roman" w:cs="Times New Roman"/>
                <w:b w:val="0"/>
                <w:i w:val="0"/>
                <w:color w:val="000000"/>
                <w:sz w:val="20"/>
                <w:u w:val="none"/>
              </w:rPr>
              <w:t>$</w:t>
              <w:tab/>
              <w:t>(13,126)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6"/>
              </w:tabs>
              <w:spacing w:before="53" w:after="30" w:line="240" w:lineRule="auto"/>
              <w:jc w:val="right"/>
            </w:pPr>
            <w:r>
              <w:rPr>
                <w:rFonts w:ascii="Times New Roman" w:eastAsia="Times New Roman" w:hAnsi="Times New Roman" w:cs="Times New Roman"/>
                <w:b w:val="0"/>
                <w:i w:val="0"/>
                <w:color w:val="000000"/>
                <w:sz w:val="20"/>
                <w:u w:val="none"/>
              </w:rPr>
              <w:t>$</w:t>
              <w:tab/>
              <w:t>(11,773)</w:t>
            </w:r>
          </w:p>
        </w:tc>
      </w:tr>
      <w:tr>
        <w:tblPrEx>
          <w:tblW w:w="783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Weighted-average shares of common stock outstanding</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27,430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26,054</w:t>
              <w:tab/>
            </w:r>
          </w:p>
        </w:tc>
      </w:tr>
      <w:tr>
        <w:tblPrEx>
          <w:tblW w:w="783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Diluted loss per share</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16"/>
              </w:tabs>
              <w:spacing w:before="33" w:after="30" w:line="240" w:lineRule="auto"/>
              <w:jc w:val="right"/>
            </w:pPr>
            <w:r>
              <w:rPr>
                <w:rFonts w:ascii="Times New Roman" w:eastAsia="Times New Roman" w:hAnsi="Times New Roman" w:cs="Times New Roman"/>
                <w:b w:val="0"/>
                <w:i w:val="0"/>
                <w:color w:val="000000"/>
                <w:sz w:val="20"/>
                <w:u w:val="none"/>
              </w:rPr>
              <w:t>$</w:t>
              <w:tab/>
              <w:t>(0.48)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16"/>
              </w:tabs>
              <w:spacing w:before="33" w:after="30" w:line="240" w:lineRule="auto"/>
              <w:jc w:val="right"/>
            </w:pPr>
            <w:r>
              <w:rPr>
                <w:rFonts w:ascii="Times New Roman" w:eastAsia="Times New Roman" w:hAnsi="Times New Roman" w:cs="Times New Roman"/>
                <w:b w:val="0"/>
                <w:i w:val="0"/>
                <w:color w:val="000000"/>
                <w:sz w:val="20"/>
                <w:u w:val="none"/>
              </w:rPr>
              <w:t>$</w:t>
              <w:tab/>
              <w:t>(0.45)</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
          <w:u w:val="none"/>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
          <w:u w:val="none"/>
        </w:rPr>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38" w:name="Section39"/>
      <w:bookmarkEnd w:id="38"/>
    </w:p>
    <w:p>
      <w:pPr>
        <w:keepNext/>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 xml:space="preserve">NOTE 12 - </w:t>
      </w:r>
      <w:r>
        <w:rPr>
          <w:rFonts w:ascii="Times New Roman" w:eastAsia="Times New Roman" w:hAnsi="Times New Roman" w:cs="Times New Roman"/>
          <w:b/>
          <w:i w:val="0"/>
          <w:color w:val="000000"/>
          <w:sz w:val="20"/>
          <w:highlight w:val="white"/>
          <w:u w:val="none"/>
        </w:rPr>
        <w:t>SEGMENT INFORMATION</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We manage our business activities on a consolidated basis and operate as </w:t>
      </w:r>
      <w:r>
        <w:rPr>
          <w:rFonts w:ascii="Times New Roman" w:eastAsia="Times New Roman" w:hAnsi="Times New Roman" w:cs="Times New Roman"/>
          <w:b w:val="0"/>
          <w:i w:val="0"/>
          <w:color w:val="000000"/>
          <w:sz w:val="20"/>
          <w:u w:val="none"/>
        </w:rPr>
        <w:t>one</w:t>
      </w:r>
      <w:r>
        <w:rPr>
          <w:rFonts w:ascii="Times New Roman" w:eastAsia="Times New Roman" w:hAnsi="Times New Roman" w:cs="Times New Roman"/>
          <w:b w:val="0"/>
          <w:i w:val="0"/>
          <w:color w:val="000000"/>
          <w:sz w:val="20"/>
          <w:u w:val="none"/>
        </w:rPr>
        <w:t xml:space="preserve"> reportable segment. Our chief operating decision maker (“CODM”) is its Chairman and Chief Executive Officer, who reviews financial information presented on a consolidated basis. The CODM uses consolidated net loss, as reported on our Consolidated Statements of Comprehensive Loss, to assess financial performance and allocate resources. These financial metrics are used by the CODM to make key operating decisions, such as the allocation of budget between cost of sales, sales and marketing, general and administrative, and research and development expenses. </w:t>
      </w:r>
      <w:r>
        <w:rPr>
          <w:rFonts w:ascii="Times New Roman" w:eastAsia="Times New Roman" w:hAnsi="Times New Roman" w:cs="Times New Roman"/>
          <w:b w:val="0"/>
          <w:i w:val="0"/>
          <w:color w:val="000000"/>
          <w:sz w:val="20"/>
          <w:u w:val="none"/>
        </w:rPr>
        <w:t>The CODM does not review assets in evaluating the results of the segment, and therefore, such information is not presented.</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operating financial results of our single reportable segment for the years ended December 31, 2025 and 2024, are as follows (in thousands):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495"/>
        <w:gridCol w:w="1485"/>
        <w:gridCol w:w="75"/>
        <w:gridCol w:w="1485"/>
      </w:tblGrid>
      <w:tr>
        <w:tblPrEx>
          <w:tblW w:w="9540" w:type="dxa"/>
          <w:tblLayout w:type="fixed"/>
        </w:tblPrEx>
        <w:trPr>
          <w:cantSplit/>
          <w:trHeight w:hRule="exact" w:val="285"/>
        </w:trPr>
        <w:tc>
          <w:tcPr>
            <w:tcW w:w="649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 </w:t>
            </w: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2024</w:t>
            </w:r>
          </w:p>
        </w:tc>
      </w:tr>
      <w:tr>
        <w:tblPrEx>
          <w:tblW w:w="9540" w:type="dxa"/>
          <w:tblLayout w:type="fixed"/>
        </w:tblPrEx>
        <w:trPr>
          <w:cantSplit/>
          <w:trHeight w:hRule="exact" w:val="285"/>
        </w:trPr>
        <w:tc>
          <w:tcPr>
            <w:tcW w:w="64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revenues</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140,541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119,792</w:t>
              <w:tab/>
            </w:r>
          </w:p>
        </w:tc>
      </w:tr>
      <w:tr>
        <w:tblPrEx>
          <w:tblW w:w="9540" w:type="dxa"/>
          <w:tblLayout w:type="fixed"/>
        </w:tblPrEx>
        <w:trPr>
          <w:cantSplit/>
          <w:trHeight w:hRule="exact" w:val="285"/>
        </w:trPr>
        <w:tc>
          <w:tcPr>
            <w:tcW w:w="64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9540" w:type="dxa"/>
          <w:tblLayout w:type="fixed"/>
        </w:tblPrEx>
        <w:trPr>
          <w:cantSplit/>
          <w:trHeight w:hRule="exact" w:val="285"/>
        </w:trPr>
        <w:tc>
          <w:tcPr>
            <w:tcW w:w="64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Significant segment expenses</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9540" w:type="dxa"/>
          <w:tblLayout w:type="fixed"/>
        </w:tblPrEx>
        <w:trPr>
          <w:cantSplit/>
          <w:trHeight w:hRule="exact" w:val="285"/>
        </w:trPr>
        <w:tc>
          <w:tcPr>
            <w:tcW w:w="64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Compensation</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89,404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83,547</w:t>
              <w:tab/>
            </w:r>
          </w:p>
        </w:tc>
      </w:tr>
      <w:tr>
        <w:tblPrEx>
          <w:tblW w:w="9540" w:type="dxa"/>
          <w:tblLayout w:type="fixed"/>
        </w:tblPrEx>
        <w:trPr>
          <w:cantSplit/>
          <w:trHeight w:hRule="exact" w:val="285"/>
        </w:trPr>
        <w:tc>
          <w:tcPr>
            <w:tcW w:w="64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Non-compensation</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39,671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30,792</w:t>
              <w:tab/>
            </w:r>
          </w:p>
        </w:tc>
      </w:tr>
      <w:tr>
        <w:tblPrEx>
          <w:tblW w:w="9540" w:type="dxa"/>
          <w:tblLayout w:type="fixed"/>
        </w:tblPrEx>
        <w:trPr>
          <w:cantSplit/>
          <w:trHeight w:hRule="exact" w:val="285"/>
        </w:trPr>
        <w:tc>
          <w:tcPr>
            <w:tcW w:w="64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Deferred software and commission costs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6"/>
              </w:tabs>
              <w:spacing w:before="53" w:after="30" w:line="240" w:lineRule="auto"/>
              <w:jc w:val="right"/>
            </w:pPr>
            <w:r>
              <w:rPr>
                <w:rFonts w:ascii="Times New Roman" w:eastAsia="Times New Roman" w:hAnsi="Times New Roman" w:cs="Times New Roman"/>
                <w:b w:val="0"/>
                <w:i w:val="0"/>
                <w:color w:val="000000"/>
                <w:sz w:val="20"/>
                <w:u w:val="none"/>
              </w:rPr>
              <w:tab/>
              <w:t>(14,309)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16"/>
              </w:tabs>
              <w:spacing w:before="53" w:after="30" w:line="240" w:lineRule="auto"/>
              <w:jc w:val="right"/>
            </w:pPr>
            <w:r>
              <w:rPr>
                <w:rFonts w:ascii="Times New Roman" w:eastAsia="Times New Roman" w:hAnsi="Times New Roman" w:cs="Times New Roman"/>
                <w:b w:val="0"/>
                <w:i w:val="0"/>
                <w:color w:val="000000"/>
                <w:sz w:val="20"/>
                <w:u w:val="none"/>
              </w:rPr>
              <w:tab/>
              <w:t>(12,398)</w:t>
            </w:r>
          </w:p>
        </w:tc>
      </w:tr>
      <w:tr>
        <w:tblPrEx>
          <w:tblW w:w="9540" w:type="dxa"/>
          <w:tblLayout w:type="fixed"/>
        </w:tblPrEx>
        <w:trPr>
          <w:cantSplit/>
          <w:trHeight w:hRule="exact" w:val="285"/>
        </w:trPr>
        <w:tc>
          <w:tcPr>
            <w:tcW w:w="64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Amortization, depreciation, and other noncash expenses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34,835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29,522</w:t>
              <w:tab/>
            </w:r>
          </w:p>
        </w:tc>
      </w:tr>
      <w:tr>
        <w:tblPrEx>
          <w:tblW w:w="9540" w:type="dxa"/>
          <w:tblLayout w:type="fixed"/>
        </w:tblPrEx>
        <w:trPr>
          <w:cantSplit/>
          <w:trHeight w:hRule="exact" w:val="285"/>
        </w:trPr>
        <w:tc>
          <w:tcPr>
            <w:tcW w:w="64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53" w:after="30" w:line="240" w:lineRule="auto"/>
              <w:ind w:left="12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Other segment expenses</w:t>
            </w:r>
            <w:r>
              <w:rPr>
                <w:rFonts w:ascii="Times New Roman" w:eastAsia="Times New Roman" w:hAnsi="Times New Roman" w:cs="Times New Roman"/>
                <w:b w:val="0"/>
                <w:i w:val="0"/>
                <w:sz w:val="20"/>
                <w:vertAlign w:val="superscript"/>
              </w:rPr>
              <w:t>(1)</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4,066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102</w:t>
              <w:tab/>
            </w:r>
          </w:p>
        </w:tc>
      </w:tr>
      <w:tr>
        <w:tblPrEx>
          <w:tblW w:w="9540" w:type="dxa"/>
          <w:tblLayout w:type="fixed"/>
        </w:tblPrEx>
        <w:trPr>
          <w:cantSplit/>
          <w:trHeight w:hRule="exact" w:val="285"/>
        </w:trPr>
        <w:tc>
          <w:tcPr>
            <w:tcW w:w="64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expenses</w:t>
            </w:r>
          </w:p>
        </w:tc>
        <w:tc>
          <w:tcPr>
            <w:tcW w:w="148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ab/>
              <w:t>153,667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02"/>
                <w:tab w:val="left" w:pos="1417"/>
              </w:tabs>
              <w:spacing w:before="33" w:after="30" w:line="240" w:lineRule="auto"/>
              <w:jc w:val="right"/>
            </w:pPr>
            <w:r>
              <w:rPr>
                <w:rFonts w:ascii="Times New Roman" w:eastAsia="Times New Roman" w:hAnsi="Times New Roman" w:cs="Times New Roman"/>
                <w:b w:val="0"/>
                <w:i w:val="0"/>
                <w:color w:val="000000"/>
                <w:sz w:val="20"/>
                <w:u w:val="none"/>
              </w:rPr>
              <w:tab/>
              <w:t>131,565</w:t>
              <w:tab/>
            </w:r>
          </w:p>
        </w:tc>
      </w:tr>
      <w:tr>
        <w:tblPrEx>
          <w:tblW w:w="9540" w:type="dxa"/>
          <w:tblLayout w:type="fixed"/>
        </w:tblPrEx>
        <w:trPr>
          <w:cantSplit/>
          <w:trHeight w:hRule="exact" w:val="285"/>
        </w:trPr>
        <w:tc>
          <w:tcPr>
            <w:tcW w:w="64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Net loss</w:t>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716"/>
              </w:tabs>
              <w:spacing w:before="33" w:after="30" w:line="240" w:lineRule="auto"/>
              <w:jc w:val="right"/>
            </w:pPr>
            <w:r>
              <w:rPr>
                <w:rFonts w:ascii="Times New Roman" w:eastAsia="Times New Roman" w:hAnsi="Times New Roman" w:cs="Times New Roman"/>
                <w:b w:val="0"/>
                <w:i w:val="0"/>
                <w:color w:val="000000"/>
                <w:sz w:val="20"/>
                <w:u w:val="none"/>
              </w:rPr>
              <w:t>$</w:t>
              <w:tab/>
              <w:t>(13,126)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716"/>
              </w:tabs>
              <w:spacing w:before="33" w:after="30" w:line="240" w:lineRule="auto"/>
              <w:jc w:val="right"/>
            </w:pPr>
            <w:r>
              <w:rPr>
                <w:rFonts w:ascii="Times New Roman" w:eastAsia="Times New Roman" w:hAnsi="Times New Roman" w:cs="Times New Roman"/>
                <w:b w:val="0"/>
                <w:i w:val="0"/>
                <w:color w:val="000000"/>
                <w:sz w:val="20"/>
                <w:u w:val="none"/>
              </w:rPr>
              <w:t>$</w:t>
              <w:tab/>
              <w:t>(11,773)</w:t>
            </w:r>
          </w:p>
        </w:tc>
      </w:tr>
    </w:tbl>
    <w:p>
      <w:pPr>
        <w:keepNext w:val="0"/>
        <w:keepLines/>
        <w:pageBreakBefore w:val="0"/>
        <w:widowControl w:val="0"/>
        <w:numPr>
          <w:ilvl w:val="0"/>
          <w:numId w:val="21"/>
        </w:numPr>
        <w:spacing w:before="0" w:after="0" w:line="288" w:lineRule="auto"/>
        <w:ind w:left="720" w:right="0" w:hanging="720"/>
        <w:jc w:val="left"/>
        <w:outlineLvl w:val="9"/>
        <w:rPr>
          <w:rFonts w:ascii="Times New Roman" w:eastAsia="Times New Roman" w:hAnsi="Times New Roman" w:cs="Times New Roman"/>
          <w:b w:val="0"/>
          <w:i w:val="0"/>
          <w:color w:val="000000"/>
          <w:sz w:val="18"/>
          <w:u w:val="none"/>
        </w:rPr>
      </w:pPr>
      <w:r>
        <w:rPr>
          <w:rFonts w:ascii="Times New Roman" w:eastAsia="Times New Roman" w:hAnsi="Times New Roman" w:cs="Times New Roman"/>
          <w:b w:val="0"/>
          <w:i w:val="0"/>
          <w:color w:val="000000"/>
          <w:sz w:val="18"/>
          <w:u w:val="none"/>
        </w:rPr>
        <w:t>Other segment expenses include interest expense, net of interest income, and other business expense</w:t>
      </w: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See the consolidated financial statements for other financial information regarding our reportable segment.</w:t>
      </w: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color w:val="000000"/>
          <w:sz w:val="18"/>
          <w:u w:val="none"/>
        </w:rPr>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39" w:name="Section40"/>
      <w:bookmarkEnd w:id="39"/>
    </w:p>
    <w:p>
      <w:pPr>
        <w:keepNext/>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i w:val="0"/>
          <w:color w:val="000000"/>
          <w:sz w:val="20"/>
          <w:highlight w:val="white"/>
          <w:u w:val="none"/>
        </w:rPr>
      </w:pPr>
      <w:r>
        <w:rPr>
          <w:rFonts w:ascii="Times New Roman" w:eastAsia="Times New Roman" w:hAnsi="Times New Roman" w:cs="Times New Roman"/>
          <w:b/>
          <w:i w:val="0"/>
          <w:color w:val="000000"/>
          <w:sz w:val="20"/>
          <w:highlight w:val="white"/>
          <w:u w:val="none"/>
        </w:rPr>
        <w:t xml:space="preserve">NOTE 13 - </w:t>
      </w:r>
      <w:r>
        <w:rPr>
          <w:rFonts w:ascii="Times New Roman" w:eastAsia="Times New Roman" w:hAnsi="Times New Roman" w:cs="Times New Roman"/>
          <w:b/>
          <w:i w:val="0"/>
          <w:color w:val="000000"/>
          <w:sz w:val="20"/>
          <w:highlight w:val="white"/>
          <w:u w:val="none"/>
        </w:rPr>
        <w:t>SUBSEQUENT EVENTS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Subsequent to December 31, 2025, but before the filing of the financial statements, we completed </w:t>
      </w:r>
      <w:r>
        <w:rPr>
          <w:rFonts w:ascii="Times New Roman" w:eastAsia="Times New Roman" w:hAnsi="Times New Roman" w:cs="Times New Roman"/>
          <w:b w:val="0"/>
          <w:i w:val="0"/>
          <w:color w:val="000000"/>
          <w:sz w:val="20"/>
          <w:u w:val="none"/>
        </w:rPr>
        <w:t>one</w:t>
      </w:r>
      <w:r>
        <w:rPr>
          <w:rFonts w:ascii="Times New Roman" w:eastAsia="Times New Roman" w:hAnsi="Times New Roman" w:cs="Times New Roman"/>
          <w:b w:val="0"/>
          <w:i w:val="0"/>
          <w:color w:val="000000"/>
          <w:sz w:val="20"/>
          <w:u w:val="none"/>
        </w:rPr>
        <w:t xml:space="preserve"> customer relationship asset acquisition. The total purchase price of this acquisition was </w:t>
      </w:r>
      <w:r>
        <w:rPr>
          <w:rFonts w:ascii="Times New Roman" w:eastAsia="Times New Roman" w:hAnsi="Times New Roman" w:cs="Times New Roman"/>
          <w:b w:val="0"/>
          <w:i w:val="0"/>
          <w:color w:val="000000"/>
          <w:sz w:val="20"/>
          <w:u w:val="none"/>
        </w:rPr>
        <w:t>$6,059</w:t>
      </w:r>
      <w:r>
        <w:rPr>
          <w:rFonts w:ascii="Times New Roman" w:eastAsia="Times New Roman" w:hAnsi="Times New Roman" w:cs="Times New Roman"/>
          <w:b w:val="0"/>
          <w:i w:val="0"/>
          <w:color w:val="000000"/>
          <w:sz w:val="20"/>
          <w:u w:val="none"/>
        </w:rPr>
        <w:t xml:space="preserve">, which consisted of </w:t>
      </w:r>
      <w:r>
        <w:rPr>
          <w:rFonts w:ascii="Times New Roman" w:eastAsia="Times New Roman" w:hAnsi="Times New Roman" w:cs="Times New Roman"/>
          <w:b w:val="0"/>
          <w:i w:val="0"/>
          <w:color w:val="000000"/>
          <w:sz w:val="20"/>
          <w:u w:val="none"/>
        </w:rPr>
        <w:t>$4,735</w:t>
      </w:r>
      <w:r>
        <w:rPr>
          <w:rFonts w:ascii="Times New Roman" w:eastAsia="Times New Roman" w:hAnsi="Times New Roman" w:cs="Times New Roman"/>
          <w:b w:val="0"/>
          <w:i w:val="0"/>
          <w:color w:val="000000"/>
          <w:sz w:val="20"/>
          <w:u w:val="none"/>
        </w:rPr>
        <w:t xml:space="preserve"> of cash paid at close, the delivery of a promissory note in the amount of </w:t>
      </w:r>
      <w:r>
        <w:rPr>
          <w:rFonts w:ascii="Times New Roman" w:eastAsia="Times New Roman" w:hAnsi="Times New Roman" w:cs="Times New Roman"/>
          <w:b w:val="0"/>
          <w:i w:val="0"/>
          <w:color w:val="000000"/>
          <w:sz w:val="20"/>
          <w:u w:val="none"/>
        </w:rPr>
        <w:t>$879</w:t>
      </w:r>
      <w:r>
        <w:rPr>
          <w:rFonts w:ascii="Times New Roman" w:eastAsia="Times New Roman" w:hAnsi="Times New Roman" w:cs="Times New Roman"/>
          <w:b w:val="0"/>
          <w:i w:val="0"/>
          <w:color w:val="000000"/>
          <w:sz w:val="20"/>
          <w:u w:val="none"/>
        </w:rPr>
        <w:t xml:space="preserve">, net of discounts, and the delivery of </w:t>
      </w:r>
      <w:r>
        <w:rPr>
          <w:rFonts w:ascii="Times New Roman" w:eastAsia="Times New Roman" w:hAnsi="Times New Roman" w:cs="Times New Roman"/>
          <w:b w:val="0"/>
          <w:i w:val="0"/>
          <w:color w:val="000000"/>
          <w:sz w:val="20"/>
          <w:u w:val="none"/>
        </w:rPr>
        <w:t>49</w:t>
      </w:r>
      <w:r>
        <w:rPr>
          <w:rFonts w:ascii="Times New Roman" w:eastAsia="Times New Roman" w:hAnsi="Times New Roman" w:cs="Times New Roman"/>
          <w:b w:val="0"/>
          <w:i w:val="0"/>
          <w:color w:val="000000"/>
          <w:sz w:val="20"/>
          <w:u w:val="none"/>
        </w:rPr>
        <w:t xml:space="preserve"> shares of Asure common stock, which had an aggregate fair value of </w:t>
      </w:r>
      <w:r>
        <w:rPr>
          <w:rFonts w:ascii="Times New Roman" w:eastAsia="Times New Roman" w:hAnsi="Times New Roman" w:cs="Times New Roman"/>
          <w:b w:val="0"/>
          <w:i w:val="0"/>
          <w:color w:val="000000"/>
          <w:sz w:val="20"/>
          <w:u w:val="none"/>
        </w:rPr>
        <w:t>$445</w:t>
      </w:r>
      <w:r>
        <w:rPr>
          <w:rFonts w:ascii="Times New Roman" w:eastAsia="Times New Roman" w:hAnsi="Times New Roman" w:cs="Times New Roman"/>
          <w:b w:val="0"/>
          <w:i w:val="0"/>
          <w:color w:val="000000"/>
          <w:sz w:val="20"/>
          <w:u w:val="none"/>
        </w:rPr>
        <w:t xml:space="preserve"> at the acquisition date.</w:t>
      </w:r>
    </w:p>
    <w:p>
      <w:pPr>
        <w:keepNext/>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1440" w:right="0" w:hanging="1440"/>
        <w:jc w:val="left"/>
        <w:outlineLvl w:val="1"/>
        <w:rPr>
          <w:rFonts w:ascii="Times New Roman" w:eastAsia="Times New Roman" w:hAnsi="Times New Roman" w:cs="Times New Roman"/>
          <w:b/>
          <w:i w:val="0"/>
          <w:sz w:val="20"/>
        </w:rPr>
      </w:pPr>
      <w:bookmarkStart w:id="40" w:name="Section41"/>
      <w:bookmarkEnd w:id="40"/>
      <w:r>
        <w:rPr>
          <w:rFonts w:ascii="Times New Roman" w:eastAsia="Times New Roman" w:hAnsi="Times New Roman" w:cs="Times New Roman"/>
          <w:b/>
          <w:i w:val="0"/>
          <w:sz w:val="20"/>
        </w:rPr>
        <w:t>ITEM 9.</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CHANGES IN AND DISAGREEMENTS WITH ACCOUNTANTS ON ACCOUNTING AND FINANCIAL DOCUMENTS</w:t>
      </w:r>
    </w:p>
    <w:p>
      <w:pPr>
        <w:keepNext w:val="0"/>
        <w:keepLines/>
        <w:pageBreakBefore w:val="0"/>
        <w:widowControl w:val="0"/>
        <w:numPr>
          <w:ilvl w:val="0"/>
          <w:numId w:val="0"/>
        </w:numPr>
        <w:spacing w:before="0" w:after="0" w:line="288" w:lineRule="auto"/>
        <w:ind w:left="1440" w:right="0" w:hanging="144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None.</w:t>
      </w:r>
    </w:p>
    <w:p>
      <w:pPr>
        <w:keepNext w:val="0"/>
        <w:keepLines/>
        <w:pageBreakBefore w:val="0"/>
        <w:widowControl w:val="0"/>
        <w:numPr>
          <w:ilvl w:val="0"/>
          <w:numId w:val="0"/>
        </w:numPr>
        <w:spacing w:before="0" w:after="0" w:line="288" w:lineRule="auto"/>
        <w:ind w:left="0" w:right="0" w:firstLine="720"/>
        <w:jc w:val="left"/>
        <w:outlineLvl w:val="9"/>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41" w:name="Section42"/>
      <w:bookmarkEnd w:id="41"/>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9A.</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CONTROLS AND PROCEDURES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Evaluation of Disclosure Control and Procedures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management, with the participation of our chief executive officer, who is our principal executive officer, and chief financial officer, who is our principal financial and accounting officer, (collectively, our “principal officers”) evaluated the effectiveness of our disclosure controls and procedures pursuant to Rule 13a-15 under the Exchange Act, as of December 31, 2025. The term “disclosure controls and procedures,” as defined in Rules 13a-15(e) and 15d-15(e) under the Securities Exchange Act of 1934, as amended (the “Exchange Act”), means controls and other procedures of a company that are designed to ensure that information required to be disclosed by a company in the reports that it files or submits under the Exchange Act is recorded, processed, summarized, and reported within the time periods specified in the United States Securities and Exchange Commission’s rules and forms. Disclosure controls and procedures include, without limitation, controls and procedures designed to ensure that information required to be disclosed by a company in the reports that it files or submits under the Exchange Act is accumulated and communicated to the company’s management, including its principal executive and principal financial officers, as appropriate, to allow timely decisions regarding required disclosure.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Based on the evaluation of our disclosure controls and procedures as of December 31, 2025, our principal officers concluded that, as of such date, our disclosure controls and procedures were effective at the reasonable assurance level.</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Management’s Report on Internal Control over Financial Reporting</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management is responsible for establishing and maintaining adequate internal control over financial reporting (as defined in Rule 13a-15(f) under the Exchange Act). Our management, including our principal officers, conducted an evaluation of the effectiveness of our internal control over financial reporting based on the criteria set forth in Internal Control – Integrated Framework issued by the Committee of Sponsoring Organizations of the Treadway Commission (2013 Framework). Based on such assessment, management has concluded that our internal control over financial reporting was effective as of December 31, 2025, to provide reasonable assurance regarding the reliability of financial reporting and the preparation of financial statements in accordance with U.S. generally accepted accounting principles.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In designing and evaluating the disclosure controls and procedures and internal control over financial reporting, management recognizes that any controls and procedures, no matter how well designed and operated, can provide only reasonable assurance of achieving the desired control objectives. In addition, the design of disclosure controls and procedures and internal control over financial reporting must reflect the fact that there are resource constraints, and that management is required to apply judgment in evaluating the benefits of possible controls and procedures relative to their costs.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effectiveness of our internal control over financial reporting as of December 31, 2025, has been audited by CBIZ CPAs P.C., an independent registered public accounting firm, as stated in its report which is included in the following pages of this Annual Report on Form 10-K.</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Remediation of Previously Reported Material Weakness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 material weakness is a deficiency, or a combination of deficiencies, in internal control over financial reporting, such that there is a reasonable possibility that a material misstatement of our annual or interim financial statements will not be prevented or detected on a timely basis.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As previously disclosed in the Company’s Annual Report on Form 10-K for the year ended December 31, 2024, and subsequent Quarterly Reports on Form 10-Q during 2025, management identified a material weakness in internal control over financial reporting related to ineffective design and operations of controls over program change management due to a lack of complete program and data change logs for certain financially relevant applications. Automated process-level and manual controls that are dependent upon the information derived from such financially relevant systems were determined to be ineffective as a result of such deficiency. The material weakness did not result in a material misstatement to our consolidated financial statements, however, the control deficiency described above created a reasonable possibility that a material misstatement to the consolidated financial statements would not be prevented or detected on a timely basis.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Status of Remediation</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Management, with oversight from the Audit Committee, has implemented remediation measures to address the above material weakness. As previously disclosed, change activity logging was activated to ensure complete logging of all program and data changes from the impacted financially relevant systems.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Management completed testing of the design and operating effectiveness of the remediated controls and concluded that the previously identified material weakness has been remediated as of December 31, 2025. As a result of these remediation efforts, management determined that the controls dependent on information derived from the impacted systems, including automated controls and system-generated reports used in financial reporting processes, are operating effectively as of December 31, 2025.</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Changes in Internal Control Over Financial Reporting</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Other than the material weakness and remediation discussed above, there have been no other changes in our internal control over financial reporting (as defined in Rules 13a-15(f) or 15d-15(f) of the Exchange Act) that occurred during the period ended December 31, 2025, that have materially affected, or are reasonably likely to materially affect, our internal control over financial reporting.</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val="0"/>
          <w:i w:val="0"/>
          <w:sz w:val="20"/>
        </w:rPr>
      </w:pPr>
      <w:bookmarkStart w:id="42" w:name="Section43"/>
      <w:bookmarkEnd w:id="42"/>
      <w:r>
        <w:rPr>
          <w:rFonts w:ascii="Times New Roman" w:eastAsia="Times New Roman" w:hAnsi="Times New Roman" w:cs="Times New Roman"/>
          <w:b/>
          <w:i w:val="0"/>
          <w:sz w:val="20"/>
        </w:rPr>
        <w:t>REPORT OF INDEPENDENT REGISTERED PUBLIC ACCOUNTING FIRM ON INTERNAL CONTROL OVER FINANCIAL REPORTING</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69"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To the Stockholders and Board of Directors of </w:t>
      </w:r>
    </w:p>
    <w:p>
      <w:pPr>
        <w:keepNext w:val="0"/>
        <w:keepLines/>
        <w:pageBreakBefore w:val="0"/>
        <w:widowControl w:val="0"/>
        <w:numPr>
          <w:ilvl w:val="0"/>
          <w:numId w:val="0"/>
        </w:numPr>
        <w:spacing w:before="0" w:after="0" w:line="269"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Asure Software, Inc. </w:t>
      </w:r>
    </w:p>
    <w:p>
      <w:pPr>
        <w:keepNext w:val="0"/>
        <w:keepLines/>
        <w:pageBreakBefore w:val="0"/>
        <w:widowControl w:val="0"/>
        <w:numPr>
          <w:ilvl w:val="0"/>
          <w:numId w:val="0"/>
        </w:numPr>
        <w:spacing w:before="0" w:after="0" w:line="276"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69"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Opinion on Internal Control over Financial Reporting</w:t>
      </w:r>
    </w:p>
    <w:p>
      <w:pPr>
        <w:keepNext w:val="0"/>
        <w:keepLines/>
        <w:pageBreakBefore w:val="0"/>
        <w:widowControl w:val="0"/>
        <w:numPr>
          <w:ilvl w:val="0"/>
          <w:numId w:val="0"/>
        </w:numPr>
        <w:spacing w:before="0" w:after="0" w:line="269"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have audited Asure Software, Inc.'s (the “Company”) internal control over financial reporting as of December 31, 2025, based on criteria established in Internal Control-Integrated Framework issued by the Committee of Sponsoring Organizations of the Treadway Commission (COSO) in 2013. In our opinion, the Company maintained, in all material respects, effective internal control over financial reporting as of December 31, 2025, based on criteria established in COSO.</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have also audited, in accordance with the standards of the Public Company Accounting Oversight Board (United States) (“PCAOB”), the consolidated balance sheet as of December 31, 2025 and the related consolidated statements of comprehensive income, changes in stockholders’ equity, and cash flows and the related notes (collectively referred to as the “financial statements”) for the year ended December 31, 2025 of the Company, and our report dated February 26, 2026 expressed an unqualified opinion on those financial statements.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Basis for Opinion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Company's management is responsible for maintaining effective internal control over financial reporting, and for its assessment of the effectiveness of internal control over financial reporting, included in the accompanying management’s annual report on internal control over financial reporting. Our responsibility is to express an opinion on the Company's internal control over financial reporting based on our audit. We are a public accounting firm registered with the PCAOB and are required to be independent with respect to the Company in accordance with the U.S. federal securities laws and the applicable rules and regulations of the Securities and Exchange Commission and the PCAOB.</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conducted our audit in accordance with the standards of the PCAOB. Those standards require that we plan and perform the audit to obtain reasonable assurance about whether effective internal control over financial reporting was maintained in all material respects. Our audit of internal control over financial reporting included obtaining an understanding of internal control over financial reporting, assessing the risk that a material weakness exists, and testing and evaluating the design and operating effectiveness of internal control based on the assessed risk. Our audit also included performing such other procedures as we considered necessary in the circumstances. We believe that our audit provides a reasonable basis for our opinion.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Definition and Limitations of Internal Control over Financial Reporting</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 company’s internal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Because of the inherent limitations, internal control over financial reporting may not prevent or detect misstatements. Also, projections of any evaluation of effectiveness to future periods are subject to the risk that controls may become inadequate because of changes in conditions, or that degree of compliance with the policies or procedures may deteriorate.  </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 CBIZ CPAS P.C.</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CBIZ CPAs P.C.</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Los Angeles, California</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February 26, 2026</w:t>
      </w:r>
    </w:p>
    <w:p>
      <w:pPr>
        <w:keepNext w:val="0"/>
        <w:keepLines/>
        <w:pageBreakBefore w:val="0"/>
        <w:widowControl w:val="0"/>
        <w:numPr>
          <w:ilvl w:val="0"/>
          <w:numId w:val="0"/>
        </w:numPr>
        <w:spacing w:before="0" w:after="0" w:line="288" w:lineRule="auto"/>
        <w:ind w:left="0" w:right="0" w:firstLine="0"/>
        <w:jc w:val="both"/>
        <w:outlineLvl w:val="9"/>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43" w:name="Section44"/>
      <w:bookmarkEnd w:id="43"/>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9B.</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OTHER INFORMATION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(a) </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Performance Stock Unit Grants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Effective January 1, </w:t>
      </w:r>
      <w:r>
        <w:rPr>
          <w:rFonts w:ascii="Times New Roman" w:eastAsia="Times New Roman" w:hAnsi="Times New Roman" w:cs="Times New Roman"/>
          <w:b w:val="0"/>
          <w:i w:val="0"/>
          <w:sz w:val="20"/>
        </w:rPr>
        <w:t>2026</w:t>
      </w:r>
      <w:r>
        <w:rPr>
          <w:rFonts w:ascii="Times New Roman" w:eastAsia="Times New Roman" w:hAnsi="Times New Roman" w:cs="Times New Roman"/>
          <w:b w:val="0"/>
          <w:i w:val="0"/>
          <w:sz w:val="20"/>
        </w:rPr>
        <w:t xml:space="preserve">, the Compensation Committee of the Board of Directors (the “Compensation Committee”) approved the grant of performance stock units (“PSU”) pursuant to a Performance Stock Unit Award Grant Notice and Performance Stock Unit Award Agreement (the “PSU Award Agreement”) under the 2018 Plan to Patrick Goepel, John Pence and Eyal Goldstein payable in the form of RSUs. A form of the PSU Award Agreement is attached to this Annual Report as Exhibit </w:t>
      </w:r>
      <w:r>
        <w:rPr>
          <w:rFonts w:ascii="Times New Roman" w:eastAsia="Times New Roman" w:hAnsi="Times New Roman" w:cs="Times New Roman"/>
          <w:b w:val="0"/>
          <w:i w:val="0"/>
          <w:color w:val="000000"/>
          <w:sz w:val="20"/>
          <w:u w:val="none"/>
        </w:rPr>
        <w:t>10.13</w:t>
      </w:r>
      <w:r>
        <w:rPr>
          <w:rFonts w:ascii="Times New Roman" w:eastAsia="Times New Roman" w:hAnsi="Times New Roman" w:cs="Times New Roman"/>
          <w:b w:val="0"/>
          <w:i w:val="0"/>
          <w:sz w:val="20"/>
        </w:rPr>
        <w:t xml:space="preserve">. The PSU Award Agreements set target and maximum levels of awards based on the achievement of Performance Metrics (as defined in the PSU Award Agreement) through the Performance Period (as defined in the PSU Award Agreement). The RSUs granted pursuant to the PSU Award Agreement will vest over a three-year as follows: (a) 38.89% of the RSUs will vest on the Final Payment Date (as defined in the PSU Award Agreement) if the Final Payment Date is in February </w:t>
      </w:r>
      <w:r>
        <w:rPr>
          <w:rFonts w:ascii="Times New Roman" w:eastAsia="Times New Roman" w:hAnsi="Times New Roman" w:cs="Times New Roman"/>
          <w:b w:val="0"/>
          <w:i w:val="0"/>
          <w:sz w:val="20"/>
        </w:rPr>
        <w:t>2027</w:t>
      </w:r>
      <w:r>
        <w:rPr>
          <w:rFonts w:ascii="Times New Roman" w:eastAsia="Times New Roman" w:hAnsi="Times New Roman" w:cs="Times New Roman"/>
          <w:b w:val="0"/>
          <w:i w:val="0"/>
          <w:sz w:val="20"/>
        </w:rPr>
        <w:t xml:space="preserve"> or 41.67% of the RSUs will vest on the Final Payment Date if the Final Payment Date is in March </w:t>
      </w:r>
      <w:r>
        <w:rPr>
          <w:rFonts w:ascii="Times New Roman" w:eastAsia="Times New Roman" w:hAnsi="Times New Roman" w:cs="Times New Roman"/>
          <w:b w:val="0"/>
          <w:i w:val="0"/>
          <w:sz w:val="20"/>
        </w:rPr>
        <w:t>2027</w:t>
      </w:r>
      <w:r>
        <w:rPr>
          <w:rFonts w:ascii="Times New Roman" w:eastAsia="Times New Roman" w:hAnsi="Times New Roman" w:cs="Times New Roman"/>
          <w:b w:val="0"/>
          <w:i w:val="0"/>
          <w:sz w:val="20"/>
        </w:rPr>
        <w:t xml:space="preserve">; and (b) the remaining RSUs will vest in equal monthly installments beginning on the first day of the calendar month after the Final Payment Date through and including January 1, </w:t>
      </w:r>
      <w:r>
        <w:rPr>
          <w:rFonts w:ascii="Times New Roman" w:eastAsia="Times New Roman" w:hAnsi="Times New Roman" w:cs="Times New Roman"/>
          <w:b w:val="0"/>
          <w:i w:val="0"/>
          <w:sz w:val="20"/>
        </w:rPr>
        <w:t>2029</w:t>
      </w:r>
      <w:r>
        <w:rPr>
          <w:rFonts w:ascii="Times New Roman" w:eastAsia="Times New Roman" w:hAnsi="Times New Roman" w:cs="Times New Roman"/>
          <w:b w:val="0"/>
          <w:i w:val="0"/>
          <w:sz w:val="20"/>
        </w:rPr>
        <w: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(b)</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During the year ended December 31, 2025, none of our directors or officers (as defined in Rule 16a-1(f) of the Securities Exchange Act of 1934, as amended), </w:t>
      </w:r>
      <w:r>
        <w:rPr>
          <w:rFonts w:ascii="Times New Roman" w:eastAsia="Times New Roman" w:hAnsi="Times New Roman" w:cs="Times New Roman"/>
          <w:b w:val="0"/>
          <w:i w:val="0"/>
          <w:color w:val="000000"/>
          <w:sz w:val="20"/>
          <w:u w:val="none"/>
        </w:rPr>
        <w:t>adopted</w:t>
      </w:r>
      <w:r>
        <w:rPr>
          <w:rFonts w:ascii="Times New Roman" w:eastAsia="Times New Roman" w:hAnsi="Times New Roman" w:cs="Times New Roman"/>
          <w:b w:val="0"/>
          <w:i w:val="0"/>
          <w:sz w:val="20"/>
        </w:rPr>
        <w:t xml:space="preserve">, </w:t>
      </w:r>
      <w:r>
        <w:rPr>
          <w:rFonts w:ascii="Times New Roman" w:eastAsia="Times New Roman" w:hAnsi="Times New Roman" w:cs="Times New Roman"/>
          <w:b w:val="0"/>
          <w:i w:val="0"/>
          <w:color w:val="000000"/>
          <w:sz w:val="20"/>
          <w:u w:val="none"/>
        </w:rPr>
        <w:t>terminated</w:t>
      </w:r>
      <w:r>
        <w:rPr>
          <w:rFonts w:ascii="Times New Roman" w:eastAsia="Times New Roman" w:hAnsi="Times New Roman" w:cs="Times New Roman"/>
          <w:b w:val="0"/>
          <w:i w:val="0"/>
          <w:sz w:val="20"/>
        </w:rPr>
        <w:t xml:space="preserve"> or modified a Rule 10b5-1 trading arrangement or non-Rule 10b5-1 trading arrangement (as such terms are defined in Item 408 of Regulation S-K of the Securities Act of 1933, as amended).</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highlight w:val="yellow"/>
          <w:u w:val="none"/>
        </w:rPr>
      </w:pPr>
    </w:p>
    <w:p>
      <w:pPr>
        <w:keepNext w:val="0"/>
        <w:keepLines/>
        <w:pageBreakBefore w:val="0"/>
        <w:widowControl w:val="0"/>
        <w:numPr>
          <w:ilvl w:val="0"/>
          <w:numId w:val="0"/>
        </w:numPr>
        <w:spacing w:before="0" w:after="0" w:line="288" w:lineRule="auto"/>
        <w:ind w:left="0" w:right="0" w:firstLine="0"/>
        <w:jc w:val="both"/>
        <w:outlineLvl w:val="9"/>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44" w:name="Section45"/>
      <w:bookmarkEnd w:id="44"/>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9C.</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DISCLOSURE REGARDING FOREIGN JURISDICTIONS THAT PREVENT INSPECTIONS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None.</w:t>
      </w:r>
    </w:p>
    <w:p>
      <w:pPr>
        <w:keepNext w:val="0"/>
        <w:keepLines/>
        <w:pageBreakBefore w:val="0"/>
        <w:widowControl w:val="0"/>
        <w:numPr>
          <w:ilvl w:val="0"/>
          <w:numId w:val="0"/>
        </w:numPr>
        <w:spacing w:before="0" w:after="0" w:line="288" w:lineRule="auto"/>
        <w:ind w:left="0" w:right="0" w:firstLine="720"/>
        <w:jc w:val="left"/>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0"/>
        <w:rPr>
          <w:rFonts w:ascii="Times New Roman" w:eastAsia="Times New Roman" w:hAnsi="Times New Roman" w:cs="Times New Roman"/>
          <w:b w:val="0"/>
          <w:i w:val="0"/>
          <w:sz w:val="20"/>
        </w:rPr>
      </w:pPr>
      <w:bookmarkStart w:id="45" w:name="Section46"/>
      <w:bookmarkEnd w:id="45"/>
      <w:r>
        <w:rPr>
          <w:rFonts w:ascii="Times New Roman" w:eastAsia="Times New Roman" w:hAnsi="Times New Roman" w:cs="Times New Roman"/>
          <w:b/>
          <w:i w:val="0"/>
          <w:sz w:val="20"/>
        </w:rPr>
        <w:t>PART III</w:t>
      </w:r>
    </w:p>
    <w:p>
      <w:pPr>
        <w:keepNext w:val="0"/>
        <w:keepLines/>
        <w:pageBreakBefore w:val="0"/>
        <w:widowControl w:val="0"/>
        <w:numPr>
          <w:ilvl w:val="0"/>
          <w:numId w:val="0"/>
        </w:numPr>
        <w:spacing w:before="0" w:after="0" w:line="288" w:lineRule="auto"/>
        <w:ind w:left="0" w:right="0" w:firstLine="0"/>
        <w:jc w:val="center"/>
        <w:outlineLvl w:val="0"/>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46" w:name="Section47"/>
      <w:bookmarkEnd w:id="46"/>
    </w:p>
    <w:p>
      <w:pPr>
        <w:keepNext w:val="0"/>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10.</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DIRECTORS AND EXECUTIVE OFFICERS OF THE REGISTRANT</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Except as set forth below, the information required under this Item is incorporated by reference to the information set forth in our definitive proxy statement for our 2026 annual meeting of shareholders under the headings “Item 1 – Election of Directors and Other Matters.”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Code of Ethics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We have adopted a code of ethics entitled “Code of Business Conduct and Ethics” that applies to directors, officers and employees. It may be accessed through the “Corporate Governance” section of our website at </w:t>
      </w:r>
      <w:r>
        <w:rPr>
          <w:rFonts w:ascii="Times New Roman" w:eastAsia="Times New Roman" w:hAnsi="Times New Roman" w:cs="Times New Roman"/>
          <w:b w:val="0"/>
          <w:i/>
          <w:sz w:val="20"/>
        </w:rPr>
        <w:t>investor.asuresoftware.com/corporate-governance</w:t>
      </w:r>
      <w:r>
        <w:rPr>
          <w:rFonts w:ascii="Times New Roman" w:eastAsia="Times New Roman" w:hAnsi="Times New Roman" w:cs="Times New Roman"/>
          <w:b w:val="0"/>
          <w:i w:val="0"/>
          <w:sz w:val="20"/>
        </w:rPr>
        <w:t>. Asure also elects to disclose the information required by Form 8-K, Item 5.05, “Amendments to the Registrant’s Code of Ethics, or Waiver of a Provision of the Code of Ethics,” through our website, and such information will remain available on this website for at least a twelve month period. A copy of the “Code of Business Conduct and Ethics” is available in print to any stockholder who requests it.</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47" w:name="Section48"/>
      <w:bookmarkEnd w:id="47"/>
    </w:p>
    <w:p>
      <w:pPr>
        <w:keepNext w:val="0"/>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val="0"/>
          <w:i w:val="0"/>
          <w:sz w:val="20"/>
        </w:rPr>
      </w:pPr>
      <w:r>
        <w:rPr>
          <w:rFonts w:ascii="Times New Roman" w:eastAsia="Times New Roman" w:hAnsi="Times New Roman" w:cs="Times New Roman"/>
          <w:b/>
          <w:i w:val="0"/>
          <w:sz w:val="20"/>
        </w:rPr>
        <w:t>ITEM 11.</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EXECUTIVE COMPENSATION</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information required under this Item is incorporated by reference to the information set forth in our definitive proxy statement for our 2026 annual meeting of shareholders under the headings “Executive Compensation,” “Equity Compensation Plan Information” and “Non-Employee Director Compensation Table.”</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48" w:name="Section49"/>
      <w:bookmarkEnd w:id="48"/>
    </w:p>
    <w:p>
      <w:pPr>
        <w:keepNext w:val="0"/>
        <w:keepLines/>
        <w:pageBreakBefore w:val="0"/>
        <w:widowControl w:val="0"/>
        <w:numPr>
          <w:ilvl w:val="0"/>
          <w:numId w:val="0"/>
        </w:numPr>
        <w:spacing w:before="0" w:after="0" w:line="288" w:lineRule="auto"/>
        <w:ind w:left="1440" w:right="0" w:hanging="1440"/>
        <w:jc w:val="left"/>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12.</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SECURITY OWNERSHIP OF CERTAIN BENEFICIAL OWNERS AND MANAGEMENT AND RELATED STOCKHOLDER MATTERS</w:t>
      </w:r>
    </w:p>
    <w:p>
      <w:pPr>
        <w:keepNext w:val="0"/>
        <w:keepLines/>
        <w:pageBreakBefore w:val="0"/>
        <w:widowControl w:val="0"/>
        <w:numPr>
          <w:ilvl w:val="0"/>
          <w:numId w:val="0"/>
        </w:numPr>
        <w:spacing w:before="0" w:after="0" w:line="288" w:lineRule="auto"/>
        <w:ind w:left="1440" w:right="0" w:hanging="144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information required under this Item is incorporated by reference to the information set forth in our definitive proxy statement for our 2026 annual meeting of shareholders under the heading “Security Ownership of Certain Beneficial Owners and Management.”</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49" w:name="Section50"/>
      <w:bookmarkEnd w:id="49"/>
    </w:p>
    <w:p>
      <w:pPr>
        <w:keepNext w:val="0"/>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val="0"/>
          <w:i w:val="0"/>
          <w:sz w:val="20"/>
        </w:rPr>
      </w:pPr>
      <w:r>
        <w:rPr>
          <w:rFonts w:ascii="Times New Roman" w:eastAsia="Times New Roman" w:hAnsi="Times New Roman" w:cs="Times New Roman"/>
          <w:b/>
          <w:i w:val="0"/>
          <w:sz w:val="20"/>
        </w:rPr>
        <w:t>ITEM 13.</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CERTAIN RELATIONSHIPS, RELATED TRANSACTIONS AND DIRECTOR INDEPENDENCE</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information required under this Item is incorporated by reference to the information set forth in our definitive proxy statement for our 2026 annual meeting of shareholders under the heading “Approval of Transactions with Related Parties.”</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50" w:name="Section51"/>
      <w:bookmarkEnd w:id="50"/>
    </w:p>
    <w:p>
      <w:pPr>
        <w:keepNext w:val="0"/>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val="0"/>
          <w:i w:val="0"/>
          <w:sz w:val="20"/>
        </w:rPr>
      </w:pPr>
      <w:r>
        <w:rPr>
          <w:rFonts w:ascii="Times New Roman" w:eastAsia="Times New Roman" w:hAnsi="Times New Roman" w:cs="Times New Roman"/>
          <w:b/>
          <w:i w:val="0"/>
          <w:sz w:val="20"/>
        </w:rPr>
        <w:t>ITEM 14.</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PRINCIPAL ACCOUNTANT AND SERVICES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information required under this Item is incorporated by reference to the information set forth in our definitive proxy statement for our 2026 annual meeting of shareholders under the heading “Item 2 – Ratification of Independent Registered Public Accounting Firm.”</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0"/>
        <w:rPr>
          <w:rFonts w:ascii="Times New Roman" w:eastAsia="Times New Roman" w:hAnsi="Times New Roman" w:cs="Times New Roman"/>
          <w:b w:val="0"/>
          <w:i w:val="0"/>
          <w:sz w:val="20"/>
        </w:rPr>
      </w:pPr>
      <w:bookmarkStart w:id="51" w:name="Section52"/>
      <w:bookmarkEnd w:id="51"/>
      <w:r>
        <w:rPr>
          <w:rFonts w:ascii="Times New Roman" w:eastAsia="Times New Roman" w:hAnsi="Times New Roman" w:cs="Times New Roman"/>
          <w:b/>
          <w:i w:val="0"/>
          <w:sz w:val="20"/>
        </w:rPr>
        <w:t>PART IV</w:t>
      </w:r>
    </w:p>
    <w:p>
      <w:pPr>
        <w:keepNext w:val="0"/>
        <w:keepLines/>
        <w:pageBreakBefore w:val="0"/>
        <w:widowControl w:val="0"/>
        <w:numPr>
          <w:ilvl w:val="0"/>
          <w:numId w:val="0"/>
        </w:numPr>
        <w:spacing w:before="0" w:after="0" w:line="288" w:lineRule="auto"/>
        <w:ind w:left="0" w:right="0" w:firstLine="0"/>
        <w:jc w:val="center"/>
        <w:outlineLvl w:val="0"/>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52" w:name="Section53"/>
      <w:bookmarkEnd w:id="52"/>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15.</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EXHIBITS, FINANCIAL STATEMENT SCHEDULES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keepLines/>
        <w:pageBreakBefore w:val="0"/>
        <w:widowControl w:val="0"/>
        <w:numPr>
          <w:ilvl w:val="0"/>
          <w:numId w:val="22"/>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following documents are filed as a part of this Annual Report on Form 10-K:</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23"/>
        </w:numPr>
        <w:spacing w:before="0" w:after="0" w:line="288" w:lineRule="auto"/>
        <w:ind w:left="144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Financial Statements:</w:t>
      </w:r>
    </w:p>
    <w:p>
      <w:pPr>
        <w:keepNext w:val="0"/>
        <w:keepLines/>
        <w:pageBreakBefore w:val="0"/>
        <w:widowControl w:val="0"/>
        <w:numPr>
          <w:ilvl w:val="0"/>
          <w:numId w:val="0"/>
        </w:numPr>
        <w:spacing w:before="0" w:after="0" w:line="288" w:lineRule="auto"/>
        <w:ind w:left="72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144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Financial Statements required by this item are submitted in Part II, Item 8 of this report.</w:t>
      </w:r>
    </w:p>
    <w:p>
      <w:pPr>
        <w:keepNext w:val="0"/>
        <w:keepLines/>
        <w:pageBreakBefore w:val="0"/>
        <w:widowControl w:val="0"/>
        <w:numPr>
          <w:ilvl w:val="0"/>
          <w:numId w:val="0"/>
        </w:numPr>
        <w:spacing w:before="0" w:after="0" w:line="288" w:lineRule="auto"/>
        <w:ind w:left="72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23"/>
        </w:numPr>
        <w:spacing w:before="0" w:after="0" w:line="288" w:lineRule="auto"/>
        <w:ind w:left="144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Financial Statement Schedules:</w:t>
      </w:r>
    </w:p>
    <w:p>
      <w:pPr>
        <w:keepNext w:val="0"/>
        <w:keepLines/>
        <w:pageBreakBefore w:val="0"/>
        <w:widowControl w:val="0"/>
        <w:numPr>
          <w:ilvl w:val="0"/>
          <w:numId w:val="0"/>
        </w:numPr>
        <w:spacing w:before="0" w:after="0" w:line="288" w:lineRule="auto"/>
        <w:ind w:left="72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144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All schedules are omitted because they are not applicable or the required information is shown in the Financial Statements or in the notes thereto.</w:t>
      </w:r>
    </w:p>
    <w:p>
      <w:pPr>
        <w:keepNext w:val="0"/>
        <w:keepLines/>
        <w:pageBreakBefore w:val="0"/>
        <w:widowControl w:val="0"/>
        <w:numPr>
          <w:ilvl w:val="0"/>
          <w:numId w:val="0"/>
        </w:numPr>
        <w:spacing w:before="0" w:after="0" w:line="288" w:lineRule="auto"/>
        <w:ind w:left="720" w:right="0" w:firstLine="0"/>
        <w:jc w:val="left"/>
        <w:outlineLvl w:val="9"/>
        <w:rPr>
          <w:rFonts w:ascii="Times New Roman" w:eastAsia="Times New Roman" w:hAnsi="Times New Roman" w:cs="Times New Roman"/>
          <w:b w:val="0"/>
          <w:i w:val="0"/>
          <w:sz w:val="20"/>
        </w:rPr>
      </w:pPr>
    </w:p>
    <w:p>
      <w:pPr>
        <w:keepNext/>
        <w:keepLines/>
        <w:pageBreakBefore w:val="0"/>
        <w:widowControl w:val="0"/>
        <w:numPr>
          <w:ilvl w:val="0"/>
          <w:numId w:val="23"/>
        </w:numPr>
        <w:spacing w:before="0" w:after="0" w:line="288" w:lineRule="auto"/>
        <w:ind w:left="144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Exhibits: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tbl>
      <w:tblPr>
        <w:tblW w:w="102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140"/>
        <w:gridCol w:w="195"/>
        <w:gridCol w:w="8895"/>
      </w:tblGrid>
      <w:tr>
        <w:tblPrEx>
          <w:tblW w:w="10230" w:type="dxa"/>
          <w:tblInd w:w="0" w:type="dxa"/>
          <w:tblLayout w:type="fixed"/>
        </w:tblPrEx>
        <w:trPr>
          <w:cantSplit/>
          <w:trHeight w:hRule="exact" w:val="480"/>
          <w:tblHeader/>
        </w:trPr>
        <w:tc>
          <w:tcPr>
            <w:tcW w:w="1140" w:type="dxa"/>
            <w:tcBorders>
              <w:top w:val="nil"/>
              <w:left w:val="nil"/>
              <w:bottom w:val="single" w:sz="8" w:space="0" w:color="000000"/>
              <w:right w:val="nil"/>
            </w:tcBorders>
            <w:tcMar>
              <w:top w:w="0" w:type="dxa"/>
              <w:left w:w="53" w:type="dxa"/>
              <w:bottom w:w="0" w:type="dxa"/>
              <w:right w:w="53" w:type="dxa"/>
            </w:tcMar>
            <w:vAlign w:val="bottom"/>
          </w:tcPr>
          <w:p>
            <w:pPr>
              <w:pageBreakBefore w:val="0"/>
              <w:spacing w:before="53" w:after="30" w:line="240" w:lineRule="auto"/>
              <w:jc w:val="left"/>
            </w:pPr>
            <w:r>
              <w:rPr>
                <w:rFonts w:ascii="Times New Roman" w:eastAsia="Times New Roman" w:hAnsi="Times New Roman" w:cs="Times New Roman"/>
                <w:b/>
                <w:i w:val="0"/>
                <w:color w:val="000000"/>
                <w:sz w:val="20"/>
                <w:u w:val="none"/>
              </w:rPr>
              <w:t>EXHIBIT NUMBER</w:t>
            </w: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single" w:sz="8" w:space="0" w:color="000000"/>
              <w:right w:val="nil"/>
            </w:tcBorders>
            <w:tcMar>
              <w:top w:w="0" w:type="dxa"/>
              <w:left w:w="53" w:type="dxa"/>
              <w:bottom w:w="0" w:type="dxa"/>
              <w:right w:w="53" w:type="dxa"/>
            </w:tcMar>
            <w:vAlign w:val="bottom"/>
          </w:tcPr>
          <w:p>
            <w:pPr>
              <w:pageBreakBefore w:val="0"/>
              <w:spacing w:before="53" w:after="30" w:line="240" w:lineRule="auto"/>
              <w:jc w:val="both"/>
            </w:pPr>
            <w:r>
              <w:rPr>
                <w:rFonts w:ascii="Times New Roman" w:eastAsia="Times New Roman" w:hAnsi="Times New Roman" w:cs="Times New Roman"/>
                <w:b/>
                <w:i w:val="0"/>
                <w:color w:val="000000"/>
                <w:sz w:val="20"/>
                <w:u w:val="none"/>
              </w:rPr>
              <w:t>DESCRIPTION</w:t>
            </w:r>
          </w:p>
        </w:tc>
      </w:tr>
      <w:tr>
        <w:tblPrEx>
          <w:tblW w:w="10230" w:type="dxa"/>
          <w:tblInd w:w="0" w:type="dxa"/>
          <w:tblLayout w:type="fixed"/>
        </w:tblPrEx>
        <w:trPr>
          <w:cantSplit/>
          <w:trHeight w:hRule="exact" w:val="75"/>
          <w:tblHeader/>
        </w:trPr>
        <w:tc>
          <w:tcPr>
            <w:tcW w:w="1140" w:type="dxa"/>
            <w:tcBorders>
              <w:top w:val="single" w:sz="8" w:space="0" w:color="000000"/>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single" w:sz="8" w:space="0" w:color="000000"/>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88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17" w:history="1">
              <w:r>
                <w:rPr>
                  <w:rFonts w:ascii="Times New Roman" w:eastAsia="Times New Roman" w:hAnsi="Times New Roman" w:cs="Times New Roman"/>
                  <w:b w:val="0"/>
                  <w:i w:val="0"/>
                  <w:color w:val="0000FF"/>
                  <w:sz w:val="20"/>
                  <w:u w:val="single"/>
                  <w:shd w:val="clear" w:color="auto" w:fill="auto"/>
                </w:rPr>
                <w:t>2.1</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18" w:history="1">
              <w:r>
                <w:rPr>
                  <w:rFonts w:ascii="Times New Roman" w:eastAsia="Times New Roman" w:hAnsi="Times New Roman" w:cs="Times New Roman"/>
                  <w:b w:val="0"/>
                  <w:i w:val="0"/>
                  <w:color w:val="0000FF"/>
                  <w:sz w:val="20"/>
                  <w:u w:val="single"/>
                  <w:shd w:val="clear" w:color="auto" w:fill="auto"/>
                </w:rPr>
                <w:t>Equity Purchase Agreement, dated July 1, 2025, by and among Pendulum Holding, Inc., the equityholders of Pendulum Holding, Inc., Lathem Time 2025, LLC (f/k/a Lathem Time Corporation), and Asure Software, Inc. (Previously filed as Exhibit 2.1 to the Company’s Current Report on Form 8-K (File No. 1-34522), filed July 1, 2025. †</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19" w:history="1">
              <w:r>
                <w:rPr>
                  <w:rFonts w:ascii="Times New Roman" w:eastAsia="Times New Roman" w:hAnsi="Times New Roman" w:cs="Times New Roman"/>
                  <w:b w:val="0"/>
                  <w:i w:val="0"/>
                  <w:color w:val="0000FF"/>
                  <w:sz w:val="20"/>
                  <w:u w:val="single"/>
                  <w:shd w:val="clear" w:color="auto" w:fill="auto"/>
                </w:rPr>
                <w:t>3.1</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20" w:history="1">
              <w:r>
                <w:rPr>
                  <w:rFonts w:ascii="Times New Roman" w:eastAsia="Times New Roman" w:hAnsi="Times New Roman" w:cs="Times New Roman"/>
                  <w:b w:val="0"/>
                  <w:i w:val="0"/>
                  <w:color w:val="0000FF"/>
                  <w:sz w:val="20"/>
                  <w:u w:val="single"/>
                  <w:shd w:val="clear" w:color="auto" w:fill="auto"/>
                </w:rPr>
                <w:t>Restated Certificate of Incorporation (Previously filed as Exhibit 3.1 to the Company’s Quarterly Report on Form 10-Q (File No. 1-34522), filed May 11, 2017).</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21" w:history="1">
              <w:r>
                <w:rPr>
                  <w:rFonts w:ascii="Times New Roman" w:eastAsia="Times New Roman" w:hAnsi="Times New Roman" w:cs="Times New Roman"/>
                  <w:b w:val="0"/>
                  <w:i w:val="0"/>
                  <w:color w:val="0000FF"/>
                  <w:sz w:val="20"/>
                  <w:u w:val="single"/>
                  <w:shd w:val="clear" w:color="auto" w:fill="auto"/>
                </w:rPr>
                <w:t>3.2</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22" w:history="1">
              <w:r>
                <w:rPr>
                  <w:rFonts w:ascii="Times New Roman" w:eastAsia="Times New Roman" w:hAnsi="Times New Roman" w:cs="Times New Roman"/>
                  <w:b w:val="0"/>
                  <w:i w:val="0"/>
                  <w:color w:val="0000FF"/>
                  <w:sz w:val="20"/>
                  <w:u w:val="single"/>
                  <w:shd w:val="clear" w:color="auto" w:fill="auto"/>
                </w:rPr>
                <w:t>Certificate of Amendment to Certificate of Incorporation (Previously filed as Exhibit 3.1 to the Company’s Current Report on Form 8-K (File No. 1-34522), filed June 2, 2020).</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23" w:history="1">
              <w:r>
                <w:rPr>
                  <w:rFonts w:ascii="Times New Roman" w:eastAsia="Times New Roman" w:hAnsi="Times New Roman" w:cs="Times New Roman"/>
                  <w:b w:val="0"/>
                  <w:i w:val="0"/>
                  <w:color w:val="0000FF"/>
                  <w:sz w:val="20"/>
                  <w:u w:val="single"/>
                  <w:shd w:val="clear" w:color="auto" w:fill="auto"/>
                </w:rPr>
                <w:t>3.3</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24" w:history="1">
              <w:r>
                <w:rPr>
                  <w:rFonts w:ascii="Times New Roman" w:eastAsia="Times New Roman" w:hAnsi="Times New Roman" w:cs="Times New Roman"/>
                  <w:b w:val="0"/>
                  <w:i w:val="0"/>
                  <w:color w:val="0000FF"/>
                  <w:sz w:val="20"/>
                  <w:u w:val="single"/>
                  <w:shd w:val="clear" w:color="auto" w:fill="auto"/>
                </w:rPr>
                <w:t>Third Amended and Restated Bylaws (Previously filed as Exhibit 3.1 to the Company’s Quarterly Report on Form 10-Q (File No. 1-34522), filed November 9, 2018).</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25" w:history="1">
              <w:r>
                <w:rPr>
                  <w:rFonts w:ascii="Times New Roman" w:eastAsia="Times New Roman" w:hAnsi="Times New Roman" w:cs="Times New Roman"/>
                  <w:b w:val="0"/>
                  <w:i w:val="0"/>
                  <w:color w:val="0000FF"/>
                  <w:sz w:val="20"/>
                  <w:u w:val="single"/>
                  <w:shd w:val="clear" w:color="auto" w:fill="auto"/>
                </w:rPr>
                <w:t>3.4</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26" w:history="1">
              <w:r>
                <w:rPr>
                  <w:rFonts w:ascii="Times New Roman" w:eastAsia="Times New Roman" w:hAnsi="Times New Roman" w:cs="Times New Roman"/>
                  <w:b w:val="0"/>
                  <w:i w:val="0"/>
                  <w:color w:val="0000FF"/>
                  <w:sz w:val="20"/>
                  <w:u w:val="single"/>
                  <w:shd w:val="clear" w:color="auto" w:fill="auto"/>
                </w:rPr>
                <w:t>Amendment to No. 1 to Third Amended and Restated Bylaws (Previously filed as Exhibit 3.1 to the Company’s Current Report on Form 8-K (File No. 1-34522), filed April 6, 2020).</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27" w:history="1">
              <w:r>
                <w:rPr>
                  <w:rFonts w:ascii="Times New Roman" w:eastAsia="Times New Roman" w:hAnsi="Times New Roman" w:cs="Times New Roman"/>
                  <w:b w:val="0"/>
                  <w:i w:val="0"/>
                  <w:color w:val="0000FF"/>
                  <w:sz w:val="20"/>
                  <w:u w:val="single"/>
                  <w:shd w:val="clear" w:color="auto" w:fill="auto"/>
                </w:rPr>
                <w:t>3.5</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28" w:history="1">
              <w:r>
                <w:rPr>
                  <w:rFonts w:ascii="Times New Roman" w:eastAsia="Times New Roman" w:hAnsi="Times New Roman" w:cs="Times New Roman"/>
                  <w:b w:val="0"/>
                  <w:i w:val="0"/>
                  <w:color w:val="0000FF"/>
                  <w:sz w:val="20"/>
                  <w:u w:val="single"/>
                  <w:shd w:val="clear" w:color="auto" w:fill="auto"/>
                </w:rPr>
                <w:t>Amendment to No. 2 to Third Amended and Restated Bylaws (Previously filed as Exhibit 3.5 to the Company’s Annual Report on Form 10-K (File No. 1-34522) filed February 26, 2024).</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29" w:history="1">
              <w:r>
                <w:rPr>
                  <w:rFonts w:ascii="Times New Roman" w:eastAsia="Times New Roman" w:hAnsi="Times New Roman" w:cs="Times New Roman"/>
                  <w:b w:val="0"/>
                  <w:i w:val="0"/>
                  <w:color w:val="0000FF"/>
                  <w:sz w:val="20"/>
                  <w:u w:val="single"/>
                  <w:shd w:val="clear" w:color="auto" w:fill="auto"/>
                </w:rPr>
                <w:t>4.1</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30" w:history="1">
              <w:r>
                <w:rPr>
                  <w:rFonts w:ascii="Times New Roman" w:eastAsia="Times New Roman" w:hAnsi="Times New Roman" w:cs="Times New Roman"/>
                  <w:b w:val="0"/>
                  <w:i w:val="0"/>
                  <w:color w:val="0000FF"/>
                  <w:sz w:val="20"/>
                  <w:u w:val="single"/>
                  <w:shd w:val="clear" w:color="auto" w:fill="auto"/>
                </w:rPr>
                <w:t>Specimen Certificate for the Common Stock (Previously filed as Exhibit 4.1 to the Company’s Registration Statement on Form S-3 (File No. 1-34522), filed December 13, 2012).</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67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31" w:history="1">
              <w:r>
                <w:rPr>
                  <w:rFonts w:ascii="Times New Roman" w:eastAsia="Times New Roman" w:hAnsi="Times New Roman" w:cs="Times New Roman"/>
                  <w:b w:val="0"/>
                  <w:i w:val="0"/>
                  <w:color w:val="0000FF"/>
                  <w:sz w:val="20"/>
                  <w:u w:val="single"/>
                  <w:shd w:val="clear" w:color="auto" w:fill="auto"/>
                </w:rPr>
                <w:t>4.2</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32" w:history="1">
              <w:r>
                <w:rPr>
                  <w:rFonts w:ascii="Times New Roman" w:eastAsia="Times New Roman" w:hAnsi="Times New Roman" w:cs="Times New Roman"/>
                  <w:b w:val="0"/>
                  <w:i w:val="0"/>
                  <w:color w:val="0000FF"/>
                  <w:sz w:val="20"/>
                  <w:u w:val="single"/>
                  <w:shd w:val="clear" w:color="auto" w:fill="auto"/>
                </w:rPr>
                <w:t>Fourth Amended and Restated Rights Agreement, dated effective October 28, 2025 between Asure Software, Inc. and Equiniti Trust Company LLC (Previously filed as Exhibit 4.1 to the Company’s Current Report on Form 8-K (File No. 1-34522), filed April 16, 2025).</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33" w:history="1">
              <w:r>
                <w:rPr>
                  <w:rFonts w:ascii="Times New Roman" w:eastAsia="Times New Roman" w:hAnsi="Times New Roman" w:cs="Times New Roman"/>
                  <w:b w:val="0"/>
                  <w:i w:val="0"/>
                  <w:color w:val="0000FF"/>
                  <w:sz w:val="20"/>
                  <w:u w:val="single"/>
                  <w:shd w:val="clear" w:color="auto" w:fill="auto"/>
                </w:rPr>
                <w:t>4.3</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34" w:history="1">
              <w:r>
                <w:rPr>
                  <w:rFonts w:ascii="Times New Roman" w:eastAsia="Times New Roman" w:hAnsi="Times New Roman" w:cs="Times New Roman"/>
                  <w:b w:val="0"/>
                  <w:i w:val="0"/>
                  <w:color w:val="0000FF"/>
                  <w:sz w:val="20"/>
                  <w:u w:val="single"/>
                  <w:shd w:val="clear" w:color="auto" w:fill="auto"/>
                </w:rPr>
                <w:t>Description of the Company’s securities registered pursuant to Section 12 of the Securities Exchange Act of 1934.*</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35" w:history="1">
              <w:r>
                <w:rPr>
                  <w:rFonts w:ascii="Times New Roman" w:eastAsia="Times New Roman" w:hAnsi="Times New Roman" w:cs="Times New Roman"/>
                  <w:b w:val="0"/>
                  <w:i w:val="0"/>
                  <w:color w:val="0000FF"/>
                  <w:sz w:val="20"/>
                  <w:u w:val="single"/>
                  <w:shd w:val="clear" w:color="auto" w:fill="auto"/>
                </w:rPr>
                <w:t>10.1</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36" w:history="1">
              <w:r>
                <w:rPr>
                  <w:rFonts w:ascii="Times New Roman" w:eastAsia="Times New Roman" w:hAnsi="Times New Roman" w:cs="Times New Roman"/>
                  <w:b w:val="0"/>
                  <w:i w:val="0"/>
                  <w:color w:val="0000FF"/>
                  <w:sz w:val="20"/>
                  <w:u w:val="single"/>
                  <w:shd w:val="clear" w:color="auto" w:fill="auto"/>
                </w:rPr>
                <w:t>Stock Purchase Agreement dated September 25, 2009 with Patrick Goepel (Previously filed as Exhibit 10.1 to the Company’s Current Report on Form 8-K/A (File No. 1-34522), filed September 28, 2009).</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37" w:history="1">
              <w:r>
                <w:rPr>
                  <w:rFonts w:ascii="Times New Roman" w:eastAsia="Times New Roman" w:hAnsi="Times New Roman" w:cs="Times New Roman"/>
                  <w:b w:val="0"/>
                  <w:i w:val="0"/>
                  <w:color w:val="0000FF"/>
                  <w:sz w:val="20"/>
                  <w:u w:val="single"/>
                  <w:shd w:val="clear" w:color="auto" w:fill="auto"/>
                </w:rPr>
                <w:t>10.2</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38" w:history="1">
              <w:r>
                <w:rPr>
                  <w:rFonts w:ascii="Times New Roman" w:eastAsia="Times New Roman" w:hAnsi="Times New Roman" w:cs="Times New Roman"/>
                  <w:b w:val="0"/>
                  <w:i w:val="0"/>
                  <w:color w:val="0000FF"/>
                  <w:sz w:val="20"/>
                  <w:u w:val="single"/>
                  <w:shd w:val="clear" w:color="auto" w:fill="auto"/>
                </w:rPr>
                <w:t>Amended and Restated Employment Agreement dated July 2, 2011 with Patrick Goepel (Previously filed as Exhibit 10.25 to the Company’s Annual Report on Form 10-K (File No. 1-34522), filed March 30, 2012).</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39" w:history="1">
              <w:r>
                <w:rPr>
                  <w:rFonts w:ascii="Times New Roman" w:eastAsia="Times New Roman" w:hAnsi="Times New Roman" w:cs="Times New Roman"/>
                  <w:b w:val="0"/>
                  <w:i w:val="0"/>
                  <w:color w:val="0000FF"/>
                  <w:sz w:val="20"/>
                  <w:u w:val="single"/>
                  <w:shd w:val="clear" w:color="auto" w:fill="auto"/>
                </w:rPr>
                <w:t>10.3</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40" w:history="1">
              <w:r>
                <w:rPr>
                  <w:rFonts w:ascii="Times New Roman" w:eastAsia="Times New Roman" w:hAnsi="Times New Roman" w:cs="Times New Roman"/>
                  <w:b w:val="0"/>
                  <w:i w:val="0"/>
                  <w:color w:val="0000FF"/>
                  <w:sz w:val="20"/>
                  <w:u w:val="single"/>
                  <w:shd w:val="clear" w:color="auto" w:fill="auto"/>
                </w:rPr>
                <w:t>Employee Stock Purchase Plan, as amended on May 27, 2020 (Previously incorporated to the Company’s Proxy Statement (File No. 1-34522) for its Annual Meeting of Shareholders held on May 27, 2020).+</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41" w:history="1">
              <w:r>
                <w:rPr>
                  <w:rFonts w:ascii="Times New Roman" w:eastAsia="Times New Roman" w:hAnsi="Times New Roman" w:cs="Times New Roman"/>
                  <w:b w:val="0"/>
                  <w:i w:val="0"/>
                  <w:color w:val="0000FF"/>
                  <w:sz w:val="20"/>
                  <w:u w:val="single"/>
                  <w:shd w:val="clear" w:color="auto" w:fill="auto"/>
                </w:rPr>
                <w:t>10.4</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42" w:history="1">
              <w:r>
                <w:rPr>
                  <w:rFonts w:ascii="Times New Roman" w:eastAsia="Times New Roman" w:hAnsi="Times New Roman" w:cs="Times New Roman"/>
                  <w:b w:val="0"/>
                  <w:i w:val="0"/>
                  <w:color w:val="0000FF"/>
                  <w:sz w:val="20"/>
                  <w:u w:val="single"/>
                  <w:shd w:val="clear" w:color="auto" w:fill="auto"/>
                </w:rPr>
                <w:t>Form of Indemnification Agreement (Previously filed as Exhibit 10.1 to the Company’s Current Report on Form 8-K (File No. 1-34522), filed December 21, 2017).</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43" w:history="1">
              <w:r>
                <w:rPr>
                  <w:rFonts w:ascii="Times New Roman" w:eastAsia="Times New Roman" w:hAnsi="Times New Roman" w:cs="Times New Roman"/>
                  <w:b w:val="0"/>
                  <w:i w:val="0"/>
                  <w:color w:val="0000FF"/>
                  <w:sz w:val="20"/>
                  <w:u w:val="single"/>
                  <w:shd w:val="clear" w:color="auto" w:fill="auto"/>
                </w:rPr>
                <w:t>10.5</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44" w:history="1">
              <w:r>
                <w:rPr>
                  <w:rFonts w:ascii="Times New Roman" w:eastAsia="Times New Roman" w:hAnsi="Times New Roman" w:cs="Times New Roman"/>
                  <w:b w:val="0"/>
                  <w:i w:val="0"/>
                  <w:color w:val="0000FF"/>
                  <w:sz w:val="20"/>
                  <w:u w:val="single"/>
                  <w:shd w:val="clear" w:color="auto" w:fill="auto"/>
                </w:rPr>
                <w:t>Executive Change in Control Severance Plan (Previously filed as Exhibit 10.2 to the Company’s Current Report on Form 8-K (File No. 1-34522), filed December 21, 2017).</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45" w:history="1">
              <w:r>
                <w:rPr>
                  <w:rFonts w:ascii="Times New Roman" w:eastAsia="Times New Roman" w:hAnsi="Times New Roman" w:cs="Times New Roman"/>
                  <w:b w:val="0"/>
                  <w:i w:val="0"/>
                  <w:color w:val="0000FF"/>
                  <w:sz w:val="20"/>
                  <w:u w:val="single"/>
                  <w:shd w:val="clear" w:color="auto" w:fill="auto"/>
                </w:rPr>
                <w:t>10.6</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46" w:history="1">
              <w:r>
                <w:rPr>
                  <w:rFonts w:ascii="Times New Roman" w:eastAsia="Times New Roman" w:hAnsi="Times New Roman" w:cs="Times New Roman"/>
                  <w:b w:val="0"/>
                  <w:i w:val="0"/>
                  <w:color w:val="0000FF"/>
                  <w:sz w:val="20"/>
                  <w:u w:val="single"/>
                  <w:shd w:val="clear" w:color="auto" w:fill="auto"/>
                </w:rPr>
                <w:t>First Amendment to Executive Change in Control Severance Plan, dated January 1, 2024 (Previously filed as Exhibit 10.6 to the Company’s Annual Report on Form 10-K (File No. 1-34522) filed February 26, 2024).</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67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47" w:history="1">
              <w:r>
                <w:rPr>
                  <w:rFonts w:ascii="Times New Roman" w:eastAsia="Times New Roman" w:hAnsi="Times New Roman" w:cs="Times New Roman"/>
                  <w:b w:val="0"/>
                  <w:i w:val="0"/>
                  <w:color w:val="0000FF"/>
                  <w:sz w:val="20"/>
                  <w:u w:val="single"/>
                  <w:shd w:val="clear" w:color="auto" w:fill="auto"/>
                </w:rPr>
                <w:t>10.7</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48" w:history="1">
              <w:r>
                <w:rPr>
                  <w:rFonts w:ascii="Times New Roman" w:eastAsia="Times New Roman" w:hAnsi="Times New Roman" w:cs="Times New Roman"/>
                  <w:b w:val="0"/>
                  <w:i w:val="0"/>
                  <w:color w:val="0000FF"/>
                  <w:sz w:val="20"/>
                  <w:u w:val="single"/>
                  <w:shd w:val="clear" w:color="auto" w:fill="auto"/>
                </w:rPr>
                <w:t>Asure Software, Inc. 2018 Incentive Award Plan, as amended on May 29, 2019, May 27, 2020, May 31, 2022, and June 2, 2025 (Previously filed as Exhibit 99.1 to the Company’s Quarterly Report on Form 10-Q (File No. 1-34522), filed May 11, 2020).+</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67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49" w:history="1">
              <w:r>
                <w:rPr>
                  <w:rFonts w:ascii="Times New Roman" w:eastAsia="Times New Roman" w:hAnsi="Times New Roman" w:cs="Times New Roman"/>
                  <w:b w:val="0"/>
                  <w:i w:val="0"/>
                  <w:color w:val="0000FF"/>
                  <w:sz w:val="20"/>
                  <w:u w:val="single"/>
                  <w:shd w:val="clear" w:color="auto" w:fill="auto"/>
                </w:rPr>
                <w:t>10.8</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50" w:history="1">
              <w:r>
                <w:rPr>
                  <w:rFonts w:ascii="Times New Roman" w:eastAsia="Times New Roman" w:hAnsi="Times New Roman" w:cs="Times New Roman"/>
                  <w:b w:val="0"/>
                  <w:i w:val="0"/>
                  <w:color w:val="0000FF"/>
                  <w:sz w:val="20"/>
                  <w:u w:val="single"/>
                  <w:shd w:val="clear" w:color="auto" w:fill="auto"/>
                </w:rPr>
                <w:t>Form of Stock Option Grant Notice and Stock Option Agreement under the 2018 Incentive Award Plan (Previously filed as Exhibit 10.32 to the Company’s Annual Report on Form 10-K (File No. 1-34522), filed March 11, 2021).+</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51" w:history="1">
              <w:r>
                <w:rPr>
                  <w:rFonts w:ascii="Times New Roman" w:eastAsia="Times New Roman" w:hAnsi="Times New Roman" w:cs="Times New Roman"/>
                  <w:b w:val="0"/>
                  <w:i w:val="0"/>
                  <w:color w:val="0000FF"/>
                  <w:sz w:val="20"/>
                  <w:u w:val="single"/>
                  <w:shd w:val="clear" w:color="auto" w:fill="auto"/>
                </w:rPr>
                <w:t>10.9</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52" w:history="1">
              <w:r>
                <w:rPr>
                  <w:rFonts w:ascii="Times New Roman" w:eastAsia="Times New Roman" w:hAnsi="Times New Roman" w:cs="Times New Roman"/>
                  <w:b w:val="0"/>
                  <w:i w:val="0"/>
                  <w:color w:val="0000FF"/>
                  <w:sz w:val="20"/>
                  <w:u w:val="single"/>
                  <w:shd w:val="clear" w:color="auto" w:fill="auto"/>
                </w:rPr>
                <w:t>Lease between 405 Colorado Holdings LP and Asure Software Inc., dated February 4, 2022. (Previously filed as Exhibit 10.35 to the Company's Annual Report on Form 10-K (File No. 1-34522), filed March 14, 2022)</w:t>
              </w:r>
            </w:hyperlink>
            <w:r>
              <w:rPr>
                <w:rFonts w:ascii="Times New Roman" w:eastAsia="Times New Roman" w:hAnsi="Times New Roman" w:cs="Times New Roman"/>
                <w:b w:val="0"/>
                <w:i w:val="0"/>
                <w:sz w:val="20"/>
              </w:rPr>
              <w:t xml:space="preserve"> </w:t>
            </w:r>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67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53" w:history="1">
              <w:r>
                <w:rPr>
                  <w:rFonts w:ascii="Times New Roman" w:eastAsia="Times New Roman" w:hAnsi="Times New Roman" w:cs="Times New Roman"/>
                  <w:b w:val="0"/>
                  <w:i w:val="0"/>
                  <w:color w:val="0000FF"/>
                  <w:sz w:val="20"/>
                  <w:u w:val="single"/>
                  <w:shd w:val="clear" w:color="auto" w:fill="auto"/>
                </w:rPr>
                <w:t>10.10</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54" w:history="1">
              <w:r>
                <w:rPr>
                  <w:rFonts w:ascii="Times New Roman" w:eastAsia="Times New Roman" w:hAnsi="Times New Roman" w:cs="Times New Roman"/>
                  <w:b w:val="0"/>
                  <w:i w:val="0"/>
                  <w:color w:val="0000FF"/>
                  <w:sz w:val="20"/>
                  <w:u w:val="single"/>
                  <w:shd w:val="clear" w:color="auto" w:fill="auto"/>
                </w:rPr>
                <w:t>Form of 2024 Performance Stock Unit Award Grant Notice and Performance Stock Unit Award Agreement under the Company’s 2018 Incentive Award Plan (Previously filed as Exhibit 10.12 to the Company’s Annual Report on Form 10-K (File No. 1-34522) filed February 26, 2024). +</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67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55" w:history="1">
              <w:r>
                <w:rPr>
                  <w:rFonts w:ascii="Times New Roman" w:eastAsia="Times New Roman" w:hAnsi="Times New Roman" w:cs="Times New Roman"/>
                  <w:b w:val="0"/>
                  <w:i w:val="0"/>
                  <w:color w:val="0000FF"/>
                  <w:sz w:val="20"/>
                  <w:u w:val="single"/>
                  <w:shd w:val="clear" w:color="auto" w:fill="auto"/>
                </w:rPr>
                <w:t>10.11</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56" w:history="1">
              <w:r>
                <w:rPr>
                  <w:rFonts w:ascii="Times New Roman" w:eastAsia="Times New Roman" w:hAnsi="Times New Roman" w:cs="Times New Roman"/>
                  <w:b w:val="0"/>
                  <w:i w:val="0"/>
                  <w:color w:val="0000FF"/>
                  <w:sz w:val="20"/>
                  <w:u w:val="single"/>
                  <w:shd w:val="clear" w:color="auto" w:fill="auto"/>
                </w:rPr>
                <w:t>Sales Agreement, dated October 31, 2024, by and between Asure Software, Inc. and Roth Capital Partners, LLC (Previously filed as Exhibit 1.1 to the Company’s Current Report on Form 8-K (File No. 1-34522) filed October 31, 2024).</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675"/>
        </w:trPr>
        <w:tc>
          <w:tcPr>
            <w:tcW w:w="11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57" w:history="1">
              <w:r>
                <w:rPr>
                  <w:rFonts w:ascii="Times New Roman" w:eastAsia="Times New Roman" w:hAnsi="Times New Roman" w:cs="Times New Roman"/>
                  <w:b w:val="0"/>
                  <w:i w:val="0"/>
                  <w:color w:val="0000FF"/>
                  <w:sz w:val="20"/>
                  <w:u w:val="single"/>
                  <w:shd w:val="clear" w:color="auto" w:fill="auto"/>
                </w:rPr>
                <w:t>10.12</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58" w:history="1">
              <w:r>
                <w:rPr>
                  <w:rFonts w:ascii="Times New Roman" w:eastAsia="Times New Roman" w:hAnsi="Times New Roman" w:cs="Times New Roman"/>
                  <w:b w:val="0"/>
                  <w:i w:val="0"/>
                  <w:color w:val="0000FF"/>
                  <w:sz w:val="20"/>
                  <w:u w:val="single"/>
                  <w:shd w:val="clear" w:color="auto" w:fill="auto"/>
                </w:rPr>
                <w:t>Form of 2025 Performance Stock Unit Award Grant Notice and Performance Stock Unit Award Agreement under the Company’s 2018 Incentive Award Plan (Previously filed as Exhibit 10.1 to the Company’s Quarterly Report on Form 10-Q (File No. 1-34522) Filed May 1, 2025).</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59" w:history="1">
              <w:r>
                <w:rPr>
                  <w:rFonts w:ascii="Times New Roman" w:eastAsia="Times New Roman" w:hAnsi="Times New Roman" w:cs="Times New Roman"/>
                  <w:b w:val="0"/>
                  <w:i w:val="0"/>
                  <w:color w:val="0000FF"/>
                  <w:sz w:val="20"/>
                  <w:u w:val="single"/>
                  <w:shd w:val="clear" w:color="auto" w:fill="auto"/>
                </w:rPr>
                <w:t>10.13</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60" w:history="1">
              <w:r>
                <w:rPr>
                  <w:rFonts w:ascii="Times New Roman" w:eastAsia="Times New Roman" w:hAnsi="Times New Roman" w:cs="Times New Roman"/>
                  <w:b w:val="0"/>
                  <w:i w:val="0"/>
                  <w:color w:val="0000FF"/>
                  <w:sz w:val="20"/>
                  <w:u w:val="single"/>
                  <w:shd w:val="clear" w:color="auto" w:fill="auto"/>
                </w:rPr>
                <w:t>Form of 2026 Performance Stock Unit Award Grant Notice and Performance Stock Unit Award Agreement under the Company’s 2018 Incentive Award Plan.*</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10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61" w:history="1">
              <w:r>
                <w:rPr>
                  <w:rFonts w:ascii="Times New Roman" w:eastAsia="Times New Roman" w:hAnsi="Times New Roman" w:cs="Times New Roman"/>
                  <w:b w:val="0"/>
                  <w:i w:val="0"/>
                  <w:color w:val="0000FF"/>
                  <w:sz w:val="20"/>
                  <w:u w:val="single"/>
                  <w:shd w:val="clear" w:color="auto" w:fill="auto"/>
                </w:rPr>
                <w:t>10.14</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62" w:history="1">
              <w:r>
                <w:rPr>
                  <w:rFonts w:ascii="Times New Roman" w:eastAsia="Times New Roman" w:hAnsi="Times New Roman" w:cs="Times New Roman"/>
                  <w:b w:val="0"/>
                  <w:i w:val="0"/>
                  <w:color w:val="0000FF"/>
                  <w:sz w:val="20"/>
                  <w:u w:val="single"/>
                  <w:shd w:val="clear" w:color="auto" w:fill="auto"/>
                </w:rPr>
                <w:t>Credit, Security and Guaranty Agreement, dated as of April 10, 2025, by and among Asure Software, Inc., Asure Operations LLC, Asure Customer &amp; IP Holdco LLC, Asure Payroll Tax Management LLC, Asure Benefits Management LLC, Asure Treasury Management, LLC MidCap Financial Trust and the lenders from time to time party hereto (Previously filed as Exhibit 10.1  to the Company’s Current Report on Form 8-K (File No. 1-34522) filed April 10, 2025).†</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10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63" w:history="1">
              <w:r>
                <w:rPr>
                  <w:rFonts w:ascii="Times New Roman" w:eastAsia="Times New Roman" w:hAnsi="Times New Roman" w:cs="Times New Roman"/>
                  <w:b w:val="0"/>
                  <w:i w:val="0"/>
                  <w:color w:val="0000FF"/>
                  <w:sz w:val="20"/>
                  <w:u w:val="single"/>
                  <w:shd w:val="clear" w:color="auto" w:fill="auto"/>
                </w:rPr>
                <w:t>10.15</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64" w:history="1">
              <w:r>
                <w:rPr>
                  <w:rFonts w:ascii="Times New Roman" w:eastAsia="Times New Roman" w:hAnsi="Times New Roman" w:cs="Times New Roman"/>
                  <w:b w:val="0"/>
                  <w:i w:val="0"/>
                  <w:color w:val="0000FF"/>
                  <w:sz w:val="20"/>
                  <w:u w:val="single"/>
                  <w:shd w:val="clear" w:color="auto" w:fill="auto"/>
                </w:rPr>
                <w:t>Limited Consent, Amendment No. 1 and Joinder to Credit, Security and Guaranty Agreement, dated July 1, 2025, by and among Asure Software, Inc., Asure Operations LLC, Asure Customer &amp; IP Holdco LLC, Asure Payroll Tax Management LLC, Asure Benefits Management LLC, Asure Treasury Management, LLC, Lathem Time 2025, LLC, MidCap Financial Trust and the lenders from time to time party thereto (Previously filed as Exhibit 10.1  to the Company’s Current Report on Form 8-K (File No. 1-34522) filed July 1, 2025).†</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10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65" w:history="1">
              <w:r>
                <w:rPr>
                  <w:rFonts w:ascii="Times New Roman" w:eastAsia="Times New Roman" w:hAnsi="Times New Roman" w:cs="Times New Roman"/>
                  <w:b w:val="0"/>
                  <w:i w:val="0"/>
                  <w:color w:val="0000FF"/>
                  <w:sz w:val="20"/>
                  <w:u w:val="single"/>
                  <w:shd w:val="clear" w:color="auto" w:fill="auto"/>
                </w:rPr>
                <w:t>10.16</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66" w:history="1">
              <w:r>
                <w:rPr>
                  <w:rFonts w:ascii="Times New Roman" w:eastAsia="Times New Roman" w:hAnsi="Times New Roman" w:cs="Times New Roman"/>
                  <w:b w:val="0"/>
                  <w:i w:val="0"/>
                  <w:color w:val="0000FF"/>
                  <w:sz w:val="20"/>
                  <w:u w:val="single"/>
                  <w:shd w:val="clear" w:color="auto" w:fill="auto"/>
                </w:rPr>
                <w:t>Amendment No. 2 to the Credit, Security and Guaranty Agreement, dated July 31, 2025, by and among Asure Software, Inc., Asure Operations LLC, Asure Customer IP &amp; Holdco LLC, Asure Payroll Tax Management LLC, Asure Benefits Management LLC, Asure Treasury Management LLC, Lathem Time 2025 LLC, MidCap Financial Trust and the lenders from time to time party thereto. (Previously filed as Exhibit 10.3 to the Company’s Quarterly Report on Form 10-Q (File No. 1-34522) filed July 31, 2025).†</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67" w:history="1">
              <w:r>
                <w:rPr>
                  <w:rFonts w:ascii="Times New Roman" w:eastAsia="Times New Roman" w:hAnsi="Times New Roman" w:cs="Times New Roman"/>
                  <w:b w:val="0"/>
                  <w:i w:val="0"/>
                  <w:color w:val="0000FF"/>
                  <w:sz w:val="20"/>
                  <w:u w:val="single"/>
                  <w:shd w:val="clear" w:color="auto" w:fill="auto"/>
                </w:rPr>
                <w:t>19.1</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68" w:history="1">
              <w:r>
                <w:rPr>
                  <w:rFonts w:ascii="Times New Roman" w:eastAsia="Times New Roman" w:hAnsi="Times New Roman" w:cs="Times New Roman"/>
                  <w:b w:val="0"/>
                  <w:i w:val="0"/>
                  <w:color w:val="0000FF"/>
                  <w:sz w:val="20"/>
                  <w:u w:val="single"/>
                  <w:shd w:val="clear" w:color="auto" w:fill="auto"/>
                </w:rPr>
                <w:t>Insider Trading Policy (Previously filed as Exhibit 19.1 to the Company’s Annual Report on Form 10-K (File No. 1-34522) filed July 31, 2025).</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28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69" w:history="1">
              <w:r>
                <w:rPr>
                  <w:rFonts w:ascii="Times New Roman" w:eastAsia="Times New Roman" w:hAnsi="Times New Roman" w:cs="Times New Roman"/>
                  <w:b w:val="0"/>
                  <w:i w:val="0"/>
                  <w:color w:val="0000FF"/>
                  <w:sz w:val="20"/>
                  <w:u w:val="single"/>
                  <w:shd w:val="clear" w:color="auto" w:fill="auto"/>
                </w:rPr>
                <w:t>21.1</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70" w:history="1">
              <w:r>
                <w:rPr>
                  <w:rFonts w:ascii="Times New Roman" w:eastAsia="Times New Roman" w:hAnsi="Times New Roman" w:cs="Times New Roman"/>
                  <w:b w:val="0"/>
                  <w:i w:val="0"/>
                  <w:color w:val="0000FF"/>
                  <w:sz w:val="20"/>
                  <w:u w:val="single"/>
                  <w:shd w:val="clear" w:color="auto" w:fill="auto"/>
                </w:rPr>
                <w:t>Subsidiaries of the Company*</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285"/>
        </w:trPr>
        <w:tc>
          <w:tcPr>
            <w:tcW w:w="11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71" w:history="1">
              <w:r>
                <w:rPr>
                  <w:rFonts w:ascii="Times New Roman" w:eastAsia="Times New Roman" w:hAnsi="Times New Roman" w:cs="Times New Roman"/>
                  <w:b w:val="0"/>
                  <w:i w:val="0"/>
                  <w:color w:val="0000FF"/>
                  <w:sz w:val="20"/>
                  <w:u w:val="single"/>
                  <w:shd w:val="clear" w:color="auto" w:fill="auto"/>
                </w:rPr>
                <w:t>23.1</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72" w:history="1">
              <w:r>
                <w:rPr>
                  <w:rFonts w:ascii="Times New Roman" w:eastAsia="Times New Roman" w:hAnsi="Times New Roman" w:cs="Times New Roman"/>
                  <w:b w:val="0"/>
                  <w:i w:val="0"/>
                  <w:color w:val="0000FF"/>
                  <w:sz w:val="20"/>
                  <w:u w:val="single"/>
                  <w:shd w:val="clear" w:color="auto" w:fill="auto"/>
                </w:rPr>
                <w:t>Consent of CBIZ CPAs P.C.*</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315"/>
        </w:trPr>
        <w:tc>
          <w:tcPr>
            <w:tcW w:w="114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73" w:history="1">
              <w:r>
                <w:rPr>
                  <w:rFonts w:ascii="Times New Roman" w:eastAsia="Times New Roman" w:hAnsi="Times New Roman" w:cs="Times New Roman"/>
                  <w:b w:val="0"/>
                  <w:i w:val="0"/>
                  <w:color w:val="0000FF"/>
                  <w:sz w:val="20"/>
                  <w:u w:val="single"/>
                  <w:shd w:val="clear" w:color="auto" w:fill="auto"/>
                </w:rPr>
                <w:t>23.2</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74" w:history="1">
              <w:r>
                <w:rPr>
                  <w:rFonts w:ascii="Times New Roman" w:eastAsia="Times New Roman" w:hAnsi="Times New Roman" w:cs="Times New Roman"/>
                  <w:b w:val="0"/>
                  <w:i w:val="0"/>
                  <w:color w:val="0000FF"/>
                  <w:sz w:val="20"/>
                  <w:u w:val="single"/>
                  <w:shd w:val="clear" w:color="auto" w:fill="auto"/>
                </w:rPr>
                <w:t>Consent of Marcum LLP*</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28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75" w:history="1">
              <w:r>
                <w:rPr>
                  <w:rFonts w:ascii="Times New Roman" w:eastAsia="Times New Roman" w:hAnsi="Times New Roman" w:cs="Times New Roman"/>
                  <w:b w:val="0"/>
                  <w:i w:val="0"/>
                  <w:color w:val="0000FF"/>
                  <w:sz w:val="20"/>
                  <w:u w:val="single"/>
                  <w:shd w:val="clear" w:color="auto" w:fill="auto"/>
                </w:rPr>
                <w:t>31.1</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76" w:history="1">
              <w:r>
                <w:rPr>
                  <w:rFonts w:ascii="Times New Roman" w:eastAsia="Times New Roman" w:hAnsi="Times New Roman" w:cs="Times New Roman"/>
                  <w:b w:val="0"/>
                  <w:i w:val="0"/>
                  <w:color w:val="0000FF"/>
                  <w:sz w:val="20"/>
                  <w:u w:val="single"/>
                  <w:shd w:val="clear" w:color="auto" w:fill="auto"/>
                </w:rPr>
                <w:t>Certification pursuant to Section 302 of the Sarbanes-Oxley Act of 2002*</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28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77" w:history="1">
              <w:r>
                <w:rPr>
                  <w:rFonts w:ascii="Times New Roman" w:eastAsia="Times New Roman" w:hAnsi="Times New Roman" w:cs="Times New Roman"/>
                  <w:b w:val="0"/>
                  <w:i w:val="0"/>
                  <w:color w:val="0000FF"/>
                  <w:sz w:val="20"/>
                  <w:u w:val="single"/>
                  <w:shd w:val="clear" w:color="auto" w:fill="auto"/>
                </w:rPr>
                <w:t>31.2</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78" w:history="1">
              <w:r>
                <w:rPr>
                  <w:rFonts w:ascii="Times New Roman" w:eastAsia="Times New Roman" w:hAnsi="Times New Roman" w:cs="Times New Roman"/>
                  <w:b w:val="0"/>
                  <w:i w:val="0"/>
                  <w:color w:val="0000FF"/>
                  <w:sz w:val="20"/>
                  <w:u w:val="single"/>
                  <w:shd w:val="clear" w:color="auto" w:fill="auto"/>
                </w:rPr>
                <w:t>Certification pursuant to Section 302 of the Sarbanes-Oxley Act of 2002*</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79" w:history="1">
              <w:r>
                <w:rPr>
                  <w:rFonts w:ascii="Times New Roman" w:eastAsia="Times New Roman" w:hAnsi="Times New Roman" w:cs="Times New Roman"/>
                  <w:b w:val="0"/>
                  <w:i w:val="0"/>
                  <w:color w:val="0000FF"/>
                  <w:sz w:val="20"/>
                  <w:u w:val="single"/>
                  <w:shd w:val="clear" w:color="auto" w:fill="auto"/>
                </w:rPr>
                <w:t>32.1</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80" w:history="1">
              <w:r>
                <w:rPr>
                  <w:rFonts w:ascii="Times New Roman" w:eastAsia="Times New Roman" w:hAnsi="Times New Roman" w:cs="Times New Roman"/>
                  <w:b w:val="0"/>
                  <w:i w:val="0"/>
                  <w:color w:val="0000FF"/>
                  <w:sz w:val="20"/>
                  <w:u w:val="single"/>
                  <w:shd w:val="clear" w:color="auto" w:fill="auto"/>
                </w:rPr>
                <w:t>Certification pursuant to 18 U.S.C. Section 1350, as adopted pursuant to Section 906 of the Sarbanes-Oxley Act of 2002 (furnished, not filed)**</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81" w:history="1">
              <w:r>
                <w:rPr>
                  <w:rFonts w:ascii="Times New Roman" w:eastAsia="Times New Roman" w:hAnsi="Times New Roman" w:cs="Times New Roman"/>
                  <w:b w:val="0"/>
                  <w:i w:val="0"/>
                  <w:color w:val="0000FF"/>
                  <w:sz w:val="20"/>
                  <w:u w:val="single"/>
                  <w:shd w:val="clear" w:color="auto" w:fill="auto"/>
                </w:rPr>
                <w:t>32.2</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82" w:history="1">
              <w:r>
                <w:rPr>
                  <w:rFonts w:ascii="Times New Roman" w:eastAsia="Times New Roman" w:hAnsi="Times New Roman" w:cs="Times New Roman"/>
                  <w:b w:val="0"/>
                  <w:i w:val="0"/>
                  <w:color w:val="0000FF"/>
                  <w:sz w:val="20"/>
                  <w:u w:val="single"/>
                  <w:shd w:val="clear" w:color="auto" w:fill="auto"/>
                </w:rPr>
                <w:t>Certification pursuant to 18 U.S.C. Section 1350, as adopted pursuant to Section 906 of the Sarbanes-Oxley Act of 2002 (furnished, not filed)**</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83" w:history="1">
              <w:r>
                <w:rPr>
                  <w:rFonts w:ascii="Times New Roman" w:eastAsia="Times New Roman" w:hAnsi="Times New Roman" w:cs="Times New Roman"/>
                  <w:b w:val="0"/>
                  <w:i w:val="0"/>
                  <w:color w:val="0000FF"/>
                  <w:sz w:val="20"/>
                  <w:u w:val="single"/>
                  <w:shd w:val="clear" w:color="auto" w:fill="auto"/>
                </w:rPr>
                <w:t>97.1</w:t>
              </w:r>
            </w:hyperlink>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84" w:history="1">
              <w:r>
                <w:rPr>
                  <w:rFonts w:ascii="Times New Roman" w:eastAsia="Times New Roman" w:hAnsi="Times New Roman" w:cs="Times New Roman"/>
                  <w:b w:val="0"/>
                  <w:i w:val="0"/>
                  <w:color w:val="0000FF"/>
                  <w:sz w:val="20"/>
                  <w:u w:val="single"/>
                  <w:shd w:val="clear" w:color="auto" w:fill="auto"/>
                </w:rPr>
                <w:t>Dodd-Frank Clawback Policy (Previously filed as Exhibit 97.1 to the Company’s Annual Report on Form 10-K (File No. 1-34522) filed February 26, 2024).</w:t>
              </w:r>
            </w:hyperlink>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1065"/>
        </w:trPr>
        <w:tc>
          <w:tcPr>
            <w:tcW w:w="1140" w:type="dxa"/>
            <w:tcBorders>
              <w:top w:val="nil"/>
              <w:left w:val="nil"/>
              <w:bottom w:val="nil"/>
              <w:right w:val="nil"/>
            </w:tcBorders>
            <w:shd w:val="clear" w:color="auto" w:fill="FFFFFF"/>
            <w:tcMar>
              <w:top w:w="0" w:type="dxa"/>
              <w:left w:w="53" w:type="dxa"/>
              <w:bottom w:w="0" w:type="dxa"/>
              <w:right w:w="15" w:type="dxa"/>
            </w:tcMar>
            <w:vAlign w:val="bottom"/>
          </w:tcPr>
          <w:p>
            <w:pPr>
              <w:pageBreakBefore w:val="0"/>
              <w:spacing w:before="53" w:after="30" w:line="240" w:lineRule="auto"/>
              <w:jc w:val="left"/>
            </w:pPr>
            <w:r>
              <w:rPr>
                <w:rFonts w:ascii="Times New Roman" w:eastAsia="Times New Roman" w:hAnsi="Times New Roman" w:cs="Times New Roman"/>
                <w:b w:val="0"/>
                <w:i w:val="0"/>
                <w:color w:val="000000"/>
                <w:sz w:val="20"/>
                <w:u w:val="none"/>
              </w:rPr>
              <w:t>101</w:t>
            </w: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following materials from Asure Software, Inc.’s Annual Report on Form 10-K for the year ended December 31, 2025, formatted in Inline XBRL: (1) the Consolidated Balance Sheets, (2) the Consolidated Statements of Comprehensive Loss, (3) the Consolidated Statements of Changes in Stockholders’ Equity, (4) the Consolidated Statements of Cash Flows, and (5) Notes to Consolidated Financial Statements (filed herewith).</w:t>
            </w:r>
          </w:p>
        </w:tc>
      </w:tr>
      <w:tr>
        <w:tblPrEx>
          <w:tblW w:w="10230" w:type="dxa"/>
          <w:tblInd w:w="0" w:type="dxa"/>
          <w:tblLayout w:type="fixed"/>
        </w:tblPrEx>
        <w:trPr>
          <w:cantSplit/>
          <w:trHeight w:hRule="exact" w:val="75"/>
        </w:trPr>
        <w:tc>
          <w:tcPr>
            <w:tcW w:w="114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95"/>
        </w:trPr>
        <w:tc>
          <w:tcPr>
            <w:tcW w:w="1140" w:type="dxa"/>
            <w:tcBorders>
              <w:top w:val="nil"/>
              <w:left w:val="nil"/>
              <w:bottom w:val="nil"/>
              <w:right w:val="nil"/>
            </w:tcBorders>
            <w:shd w:val="clear" w:color="auto" w:fill="FFFFFF"/>
            <w:tcMar>
              <w:top w:w="0" w:type="dxa"/>
              <w:left w:w="53" w:type="dxa"/>
              <w:bottom w:w="0" w:type="dxa"/>
              <w:right w:w="15" w:type="dxa"/>
            </w:tcMar>
            <w:vAlign w:val="bottom"/>
          </w:tcPr>
          <w:p>
            <w:pPr>
              <w:pageBreakBefore w:val="0"/>
              <w:spacing w:before="53" w:after="30" w:line="240" w:lineRule="auto"/>
              <w:jc w:val="left"/>
            </w:pPr>
            <w:r>
              <w:rPr>
                <w:rFonts w:ascii="Times New Roman" w:eastAsia="Times New Roman" w:hAnsi="Times New Roman" w:cs="Times New Roman"/>
                <w:b w:val="0"/>
                <w:i w:val="0"/>
                <w:color w:val="000000"/>
                <w:sz w:val="20"/>
                <w:u w:val="none"/>
              </w:rPr>
              <w:t>104</w:t>
            </w:r>
          </w:p>
        </w:tc>
        <w:tc>
          <w:tcPr>
            <w:tcW w:w="19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cover page from the Company’s Annual Report on Form 10-K for the year ended December 31, 2025, formatted as Inline XBRL and contained in Exhibit 101 (filed herewith).</w:t>
            </w:r>
          </w:p>
        </w:tc>
      </w:tr>
    </w:tbl>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69" w:lineRule="auto"/>
        <w:ind w:left="720" w:right="0" w:hanging="72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ab/>
      </w:r>
      <w:r>
        <w:rPr>
          <w:rFonts w:ascii="Times New Roman" w:eastAsia="Times New Roman" w:hAnsi="Times New Roman" w:cs="Times New Roman"/>
          <w:b w:val="0"/>
          <w:i w:val="0"/>
          <w:sz w:val="20"/>
        </w:rPr>
        <w:t>Indicates management contract or compensatory plan, contract or arrangement in which directors or executive officers participate.</w:t>
      </w:r>
    </w:p>
    <w:p>
      <w:pPr>
        <w:keepNext/>
        <w:keepLines/>
        <w:pageBreakBefore w:val="0"/>
        <w:widowControl w:val="0"/>
        <w:numPr>
          <w:ilvl w:val="0"/>
          <w:numId w:val="0"/>
        </w:numPr>
        <w:spacing w:before="0" w:after="0" w:line="269" w:lineRule="auto"/>
        <w:ind w:left="720" w:right="0" w:hanging="720"/>
        <w:jc w:val="left"/>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69" w:lineRule="auto"/>
        <w:ind w:left="720" w:right="0" w:hanging="72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ab/>
      </w:r>
      <w:r>
        <w:rPr>
          <w:rFonts w:ascii="Times New Roman" w:eastAsia="Times New Roman" w:hAnsi="Times New Roman" w:cs="Times New Roman"/>
          <w:b w:val="0"/>
          <w:i w:val="0"/>
          <w:sz w:val="20"/>
        </w:rPr>
        <w:t>Certain schedules and similar attachments to this agreement have been omitted pursuant to Item 601(a)(5) of Rule S-K. The Company undertakes to furnish supplementally a copy of all omitted schedules and attachments to the Securities and Exchange Commission upon its request.</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720" w:right="0" w:hanging="72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ab/>
      </w:r>
      <w:r>
        <w:rPr>
          <w:rFonts w:ascii="Times New Roman" w:eastAsia="Times New Roman" w:hAnsi="Times New Roman" w:cs="Times New Roman"/>
          <w:b w:val="0"/>
          <w:i w:val="0"/>
          <w:sz w:val="20"/>
        </w:rPr>
        <w:t>Filed herewith.</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720" w:right="0" w:hanging="72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ab/>
      </w:r>
      <w:r>
        <w:rPr>
          <w:rFonts w:ascii="Times New Roman" w:eastAsia="Times New Roman" w:hAnsi="Times New Roman" w:cs="Times New Roman"/>
          <w:b w:val="0"/>
          <w:i w:val="0"/>
          <w:sz w:val="20"/>
        </w:rPr>
        <w:t>Furnished herewith.</w:t>
      </w:r>
    </w:p>
    <w:p>
      <w:pPr>
        <w:keepNext/>
        <w:keepLines/>
        <w:pageBreakBefore w:val="0"/>
        <w:widowControl w:val="0"/>
        <w:numPr>
          <w:ilvl w:val="0"/>
          <w:numId w:val="0"/>
        </w:numPr>
        <w:spacing w:before="0" w:after="0" w:line="288" w:lineRule="auto"/>
        <w:ind w:left="720" w:right="0" w:hanging="720"/>
        <w:jc w:val="left"/>
        <w:outlineLvl w:val="9"/>
        <w:rPr>
          <w:rFonts w:ascii="Times New Roman" w:eastAsia="Times New Roman" w:hAnsi="Times New Roman" w:cs="Times New Roman"/>
          <w:b w:val="0"/>
          <w:i w:val="0"/>
          <w:sz w:val="20"/>
        </w:rPr>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bookmarkStart w:id="53" w:name="Section54"/>
      <w:bookmarkEnd w:id="53"/>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val="0"/>
          <w:i w:val="0"/>
          <w:sz w:val="20"/>
        </w:rPr>
      </w:pPr>
      <w:r>
        <w:rPr>
          <w:rFonts w:ascii="Times New Roman" w:eastAsia="Times New Roman" w:hAnsi="Times New Roman" w:cs="Times New Roman"/>
          <w:b/>
          <w:i w:val="0"/>
          <w:sz w:val="20"/>
        </w:rPr>
        <w:t>ITEM 16.</w:t>
      </w:r>
      <w:r>
        <w:rPr>
          <w:rFonts w:ascii="Times New Roman" w:eastAsia="Times New Roman" w:hAnsi="Times New Roman" w:cs="Times New Roman"/>
          <w:b/>
          <w:i w:val="0"/>
          <w:sz w:val="20"/>
        </w:rPr>
        <w:tab/>
      </w:r>
      <w:r>
        <w:rPr>
          <w:rFonts w:ascii="Times New Roman" w:eastAsia="Times New Roman" w:hAnsi="Times New Roman" w:cs="Times New Roman"/>
          <w:b/>
          <w:i w:val="0"/>
          <w:sz w:val="20"/>
        </w:rPr>
        <w:t>FORM 10-K SUMMARY</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None.</w:t>
      </w:r>
    </w:p>
    <w:p>
      <w:pPr>
        <w:keepNext w:val="0"/>
        <w:keepLines/>
        <w:pageBreakBefore w:val="0"/>
        <w:widowControl w:val="0"/>
        <w:numPr>
          <w:ilvl w:val="0"/>
          <w:numId w:val="0"/>
        </w:numPr>
        <w:spacing w:before="0" w:after="0" w:line="288" w:lineRule="auto"/>
        <w:ind w:left="0" w:right="0" w:firstLine="720"/>
        <w:jc w:val="left"/>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center"/>
        <w:outlineLvl w:val="0"/>
        <w:rPr>
          <w:rFonts w:ascii="Times New Roman" w:eastAsia="Times New Roman" w:hAnsi="Times New Roman" w:cs="Times New Roman"/>
          <w:b/>
          <w:i w:val="0"/>
          <w:sz w:val="20"/>
        </w:rPr>
      </w:pPr>
      <w:bookmarkStart w:id="54" w:name="Section55"/>
      <w:bookmarkEnd w:id="54"/>
      <w:r>
        <w:rPr>
          <w:rFonts w:ascii="Times New Roman" w:eastAsia="Times New Roman" w:hAnsi="Times New Roman" w:cs="Times New Roman"/>
          <w:b/>
          <w:i w:val="0"/>
          <w:sz w:val="20"/>
        </w:rPr>
        <w:t>SIGNATURES</w:t>
      </w:r>
    </w:p>
    <w:p>
      <w:pPr>
        <w:keepNext/>
        <w:keepLines/>
        <w:pageBreakBefore w:val="0"/>
        <w:widowControl w:val="0"/>
        <w:numPr>
          <w:ilvl w:val="0"/>
          <w:numId w:val="0"/>
        </w:numPr>
        <w:spacing w:before="0" w:after="0" w:line="288" w:lineRule="auto"/>
        <w:ind w:left="0" w:right="0" w:firstLine="135"/>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Pursuant to the requirements of the Securities Exchange Act of 1934, as amended, the registrant has duly caused this report to be signed on its behalf by the undersigned thereunto duly authorized.</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tbl>
      <w:tblPr>
        <w:tblW w:w="1104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235"/>
        <w:gridCol w:w="405"/>
        <w:gridCol w:w="2595"/>
        <w:gridCol w:w="840"/>
        <w:gridCol w:w="3465"/>
        <w:gridCol w:w="1500"/>
      </w:tblGrid>
      <w:tr>
        <w:tblPrEx>
          <w:tblW w:w="11040" w:type="dxa"/>
          <w:tblInd w:w="0" w:type="dxa"/>
          <w:tblLayout w:type="fixed"/>
        </w:tblPrEx>
        <w:trPr>
          <w:cantSplit/>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3000" w:type="dxa"/>
            <w:gridSpan w:val="2"/>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305" w:type="dxa"/>
            <w:gridSpan w:val="2"/>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ASURE SOFTWARE, INC.</w:t>
            </w:r>
          </w:p>
        </w:tc>
        <w:tc>
          <w:tcPr>
            <w:tcW w:w="15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040" w:type="dxa"/>
          <w:tblInd w:w="0" w:type="dxa"/>
          <w:tblLayout w:type="fixed"/>
        </w:tblPrEx>
        <w:trPr>
          <w:cantSplit/>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259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8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46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040" w:type="dxa"/>
          <w:tblInd w:w="0" w:type="dxa"/>
          <w:tblLayout w:type="fixed"/>
        </w:tblPrEx>
        <w:trPr>
          <w:cantSplit/>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Date: February 26, 2026</w:t>
            </w:r>
          </w:p>
        </w:tc>
        <w:tc>
          <w:tcPr>
            <w:tcW w:w="4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5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4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ind w:left="360"/>
              <w:jc w:val="left"/>
            </w:pPr>
            <w:r>
              <w:rPr>
                <w:rFonts w:ascii="Times New Roman" w:eastAsia="Times New Roman" w:hAnsi="Times New Roman" w:cs="Times New Roman"/>
                <w:b w:val="0"/>
                <w:i w:val="0"/>
                <w:color w:val="000000"/>
                <w:sz w:val="20"/>
                <w:u w:val="none"/>
              </w:rPr>
              <w:t>By:</w:t>
            </w:r>
          </w:p>
        </w:tc>
        <w:tc>
          <w:tcPr>
            <w:tcW w:w="346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PATRICK GOEPEL</w:t>
            </w:r>
          </w:p>
        </w:tc>
        <w:tc>
          <w:tcPr>
            <w:tcW w:w="15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040" w:type="dxa"/>
          <w:tblInd w:w="0" w:type="dxa"/>
          <w:tblLayout w:type="fixed"/>
        </w:tblPrEx>
        <w:trPr>
          <w:cantSplit/>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25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46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Patrick Goepel</w:t>
            </w:r>
          </w:p>
        </w:tc>
        <w:tc>
          <w:tcPr>
            <w:tcW w:w="15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040" w:type="dxa"/>
          <w:tblInd w:w="0" w:type="dxa"/>
          <w:tblLayout w:type="fixed"/>
        </w:tblPrEx>
        <w:trPr>
          <w:cantSplit/>
          <w:trHeight w:hRule="exact" w:val="285"/>
        </w:trPr>
        <w:tc>
          <w:tcPr>
            <w:tcW w:w="223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25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46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Chief Executive Officer</w:t>
            </w:r>
          </w:p>
        </w:tc>
        <w:tc>
          <w:tcPr>
            <w:tcW w:w="150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Pursuant to the requirements of the Securities Exchange Act of 1934, as amended, this report has been signed by the following persons on behalf of the registrant and in the capacities and on the date indicated.</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790"/>
        <w:gridCol w:w="75"/>
        <w:gridCol w:w="5085"/>
        <w:gridCol w:w="75"/>
        <w:gridCol w:w="2235"/>
      </w:tblGrid>
      <w:tr>
        <w:tblPrEx>
          <w:tblW w:w="10260" w:type="dxa"/>
          <w:tblInd w:w="0" w:type="dxa"/>
          <w:tblLayout w:type="fixed"/>
        </w:tblPrEx>
        <w:trPr>
          <w:cantSplit/>
          <w:trHeight w:hRule="exact" w:val="315"/>
        </w:trPr>
        <w:tc>
          <w:tcPr>
            <w:tcW w:w="279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Signed</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Title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Date</w:t>
            </w:r>
          </w:p>
        </w:tc>
      </w:tr>
      <w:tr>
        <w:tblPrEx>
          <w:tblW w:w="10260" w:type="dxa"/>
          <w:tblInd w:w="0" w:type="dxa"/>
          <w:tblLayout w:type="fixed"/>
        </w:tblPrEx>
        <w:trPr>
          <w:cantSplit/>
          <w:trHeight w:hRule="exact" w:val="315"/>
        </w:trPr>
        <w:tc>
          <w:tcPr>
            <w:tcW w:w="279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279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PATRICK GOEPEL</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Chief Executive Officer, Chairman of the Board of Directors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February 26, 2026</w:t>
            </w:r>
          </w:p>
        </w:tc>
      </w:tr>
      <w:tr>
        <w:tblPrEx>
          <w:tblW w:w="10260" w:type="dxa"/>
          <w:tblInd w:w="0" w:type="dxa"/>
          <w:tblLayout w:type="fixed"/>
        </w:tblPrEx>
        <w:trPr>
          <w:cantSplit/>
          <w:trHeight w:hRule="exact" w:val="315"/>
        </w:trPr>
        <w:tc>
          <w:tcPr>
            <w:tcW w:w="27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Patrick Goepel</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Principal Executive Officer</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279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279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JOHN PENCE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Chief Financial Officer</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February 26, 2026</w:t>
            </w:r>
          </w:p>
        </w:tc>
      </w:tr>
      <w:tr>
        <w:tblPrEx>
          <w:tblW w:w="10260" w:type="dxa"/>
          <w:tblInd w:w="0" w:type="dxa"/>
          <w:tblLayout w:type="fixed"/>
        </w:tblPrEx>
        <w:trPr>
          <w:cantSplit/>
          <w:trHeight w:hRule="exact" w:val="315"/>
        </w:trPr>
        <w:tc>
          <w:tcPr>
            <w:tcW w:w="27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John Pence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Principal Financial and Accounting Officer</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279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279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DANIEL GILL</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Lead Independent Director</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February 26, 2026</w:t>
            </w:r>
          </w:p>
        </w:tc>
      </w:tr>
      <w:tr>
        <w:tblPrEx>
          <w:tblW w:w="10260" w:type="dxa"/>
          <w:tblInd w:w="0" w:type="dxa"/>
          <w:tblLayout w:type="fixed"/>
        </w:tblPrEx>
        <w:trPr>
          <w:cantSplit/>
          <w:trHeight w:hRule="exact" w:val="315"/>
        </w:trPr>
        <w:tc>
          <w:tcPr>
            <w:tcW w:w="27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Daniel Gill</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279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279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BENJAMIN ALLEN</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Director</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February 26, 2026</w:t>
            </w:r>
          </w:p>
        </w:tc>
      </w:tr>
      <w:tr>
        <w:tblPrEx>
          <w:tblW w:w="10260" w:type="dxa"/>
          <w:tblInd w:w="0" w:type="dxa"/>
          <w:tblLayout w:type="fixed"/>
        </w:tblPrEx>
        <w:trPr>
          <w:cantSplit/>
          <w:trHeight w:hRule="exact" w:val="315"/>
        </w:trPr>
        <w:tc>
          <w:tcPr>
            <w:tcW w:w="27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Benjamin Allen</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279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279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CARL DREW</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Director</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February 26, 2026</w:t>
            </w:r>
          </w:p>
        </w:tc>
      </w:tr>
      <w:tr>
        <w:tblPrEx>
          <w:tblW w:w="10260" w:type="dxa"/>
          <w:tblInd w:w="0" w:type="dxa"/>
          <w:tblLayout w:type="fixed"/>
        </w:tblPrEx>
        <w:trPr>
          <w:cantSplit/>
          <w:trHeight w:hRule="exact" w:val="315"/>
        </w:trPr>
        <w:tc>
          <w:tcPr>
            <w:tcW w:w="27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Carl Drew</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279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279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GRACE LEE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Director</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February 26, 2026</w:t>
            </w:r>
          </w:p>
        </w:tc>
      </w:tr>
      <w:tr>
        <w:tblPrEx>
          <w:tblW w:w="10260" w:type="dxa"/>
          <w:tblInd w:w="0" w:type="dxa"/>
          <w:tblLayout w:type="fixed"/>
        </w:tblPrEx>
        <w:trPr>
          <w:cantSplit/>
          <w:trHeight w:hRule="exact" w:val="315"/>
        </w:trPr>
        <w:tc>
          <w:tcPr>
            <w:tcW w:w="27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Grace Lee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279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279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BRADFORD OBERWAGER</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Director</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February 26, 2026</w:t>
            </w:r>
          </w:p>
        </w:tc>
      </w:tr>
      <w:tr>
        <w:tblPrEx>
          <w:tblW w:w="10260" w:type="dxa"/>
          <w:tblInd w:w="0" w:type="dxa"/>
          <w:tblLayout w:type="fixed"/>
        </w:tblPrEx>
        <w:trPr>
          <w:cantSplit/>
          <w:trHeight w:hRule="exact" w:val="315"/>
        </w:trPr>
        <w:tc>
          <w:tcPr>
            <w:tcW w:w="27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Bradford Oberwager</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279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60" w:type="dxa"/>
          <w:tblInd w:w="0" w:type="dxa"/>
          <w:tblLayout w:type="fixed"/>
        </w:tblPrEx>
        <w:trPr>
          <w:cantSplit/>
          <w:trHeight w:hRule="exact" w:val="315"/>
        </w:trPr>
        <w:tc>
          <w:tcPr>
            <w:tcW w:w="279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BJORN REYNOLDS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508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Director</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3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February 26, 2026</w:t>
            </w:r>
          </w:p>
        </w:tc>
      </w:tr>
      <w:tr>
        <w:tblPrEx>
          <w:tblW w:w="10260" w:type="dxa"/>
          <w:tblInd w:w="0" w:type="dxa"/>
          <w:tblLayout w:type="fixed"/>
        </w:tblPrEx>
        <w:trPr>
          <w:cantSplit/>
          <w:trHeight w:hRule="exact" w:val="315"/>
        </w:trPr>
        <w:tc>
          <w:tcPr>
            <w:tcW w:w="2790" w:type="dxa"/>
            <w:tcBorders>
              <w:top w:val="single" w:sz="8" w:space="0" w:color="000000"/>
              <w:left w:val="nil"/>
              <w:bottom w:val="nil"/>
              <w:right w:val="nil"/>
            </w:tcBorders>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Bjorn Reynolds</w:t>
            </w:r>
          </w:p>
        </w:tc>
        <w:tc>
          <w:tcPr>
            <w:tcW w:w="7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508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223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
        </w:rPr>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0"/>
        <w:rPr>
          <w:rFonts w:ascii="Times New Roman" w:eastAsia="Times New Roman" w:hAnsi="Times New Roman" w:cs="Times New Roman"/>
          <w:b/>
          <w:i w:val="0"/>
          <w:color w:val="000000"/>
          <w:sz w:val="20"/>
          <w:u w:val="single"/>
        </w:rPr>
      </w:pPr>
      <w:bookmarkStart w:id="55" w:name="Section56"/>
      <w:bookmarkEnd w:id="55"/>
      <w:r>
        <w:rPr>
          <w:rFonts w:ascii="Times New Roman" w:eastAsia="Times New Roman" w:hAnsi="Times New Roman" w:cs="Times New Roman"/>
          <w:b/>
          <w:i w:val="0"/>
          <w:color w:val="000000"/>
          <w:sz w:val="20"/>
          <w:u w:val="single"/>
        </w:rPr>
        <w:t>INDEPENDENT REGISTERED PUBLIC ACCOUNTING FIRM’S CONSENT</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69" w:lineRule="auto"/>
        <w:ind w:left="0" w:right="0" w:firstLine="0"/>
        <w:jc w:val="left"/>
        <w:outlineLvl w:val="9"/>
        <w:rPr>
          <w:rFonts w:ascii="Times New Roman" w:eastAsia="Times New Roman" w:hAnsi="Times New Roman" w:cs="Times New Roman"/>
          <w:b w:val="0"/>
          <w:i w:val="0"/>
          <w:sz w:val="22"/>
        </w:rPr>
      </w:pPr>
      <w:r>
        <w:rPr>
          <w:rFonts w:ascii="Times New Roman" w:eastAsia="Times New Roman" w:hAnsi="Times New Roman" w:cs="Times New Roman"/>
          <w:b w:val="0"/>
          <w:i w:val="0"/>
          <w:sz w:val="20"/>
        </w:rPr>
        <w:t xml:space="preserve">We consent to the incorporation by reference in the Registration Statement on Form S-3 File No. 333-278590, Form S-4 File No. 333-278589 and on Form S-8 File Nos. 333-230967, 333-232754, 333-249986, 333-268220 and 333-289153 of our report dated </w:t>
      </w:r>
      <w:r>
        <w:rPr>
          <w:rFonts w:ascii="Times New Roman" w:eastAsia="Times New Roman" w:hAnsi="Times New Roman" w:cs="Times New Roman"/>
          <w:b w:val="0"/>
          <w:i w:val="0"/>
          <w:color w:val="000000"/>
          <w:sz w:val="20"/>
          <w:u w:val="none"/>
        </w:rPr>
        <w:t>February 26, 2026</w:t>
      </w:r>
      <w:r>
        <w:rPr>
          <w:rFonts w:ascii="Times New Roman" w:eastAsia="Times New Roman" w:hAnsi="Times New Roman" w:cs="Times New Roman"/>
          <w:b w:val="0"/>
          <w:i w:val="0"/>
          <w:sz w:val="20"/>
        </w:rPr>
        <w:t xml:space="preserve"> with respect to the consolidated financial statements of Asure Software, Inc. (the “Company”) and our report dated </w:t>
      </w:r>
      <w:r>
        <w:rPr>
          <w:rFonts w:ascii="Times New Roman" w:eastAsia="Times New Roman" w:hAnsi="Times New Roman" w:cs="Times New Roman"/>
          <w:b w:val="0"/>
          <w:i w:val="0"/>
          <w:color w:val="000000"/>
          <w:sz w:val="20"/>
          <w:u w:val="none"/>
        </w:rPr>
        <w:t>February 26, 2026</w:t>
      </w:r>
      <w:r>
        <w:rPr>
          <w:rFonts w:ascii="Times New Roman" w:eastAsia="Times New Roman" w:hAnsi="Times New Roman" w:cs="Times New Roman"/>
          <w:b w:val="0"/>
          <w:i w:val="0"/>
          <w:sz w:val="20"/>
        </w:rPr>
        <w:t xml:space="preserve"> with respect to the effectiveness of internal control over financial reporting of the Company included in this Annual Report on Form 10-K for the year ended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sz w:val="20"/>
        </w:rPr>
        <w:t>.</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/s/ CBIZ CPAS P.C. </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Los Angeles, California</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February 26, 2026</w:t>
      </w:r>
    </w:p>
    <w:p>
      <w:pPr>
        <w:keepNext w:val="0"/>
        <w:keepLines/>
        <w:pageBreakBefore w:val="0"/>
        <w:widowControl w:val="0"/>
        <w:numPr>
          <w:ilvl w:val="0"/>
          <w:numId w:val="0"/>
        </w:numPr>
        <w:spacing w:before="0" w:after="0" w:line="288" w:lineRule="auto"/>
        <w:ind w:left="0" w:right="0" w:firstLine="0"/>
        <w:jc w:val="left"/>
        <w:outlineLvl w:val="9"/>
        <w:sectPr>
          <w:headerReference w:type="default" r:id="rId85"/>
          <w:footerReference w:type="default" r:id="rId86"/>
          <w:pgSz w:w="12240" w:h="15840"/>
          <w:pgMar w:top="855" w:right="990" w:bottom="855" w:left="990" w:header="270" w:footer="0"/>
          <w:cols w:space="708"/>
        </w:sectPr>
      </w:pPr>
    </w:p>
    <w:p>
      <w:pPr>
        <w:keepNext w:val="0"/>
        <w:keepLines/>
        <w:pageBreakBefore w:val="0"/>
        <w:widowControl w:val="0"/>
        <w:numPr>
          <w:ilvl w:val="0"/>
          <w:numId w:val="0"/>
        </w:numPr>
        <w:spacing w:before="0" w:after="0" w:line="288" w:lineRule="auto"/>
        <w:ind w:left="0" w:right="0" w:firstLine="0"/>
        <w:jc w:val="center"/>
        <w:outlineLvl w:val="0"/>
        <w:rPr>
          <w:rFonts w:ascii="Times New Roman" w:eastAsia="Times New Roman" w:hAnsi="Times New Roman" w:cs="Times New Roman"/>
          <w:b/>
          <w:i w:val="0"/>
          <w:color w:val="000000"/>
          <w:sz w:val="20"/>
          <w:u w:val="single"/>
        </w:rPr>
      </w:pPr>
      <w:bookmarkStart w:id="56" w:name="Section57"/>
      <w:bookmarkEnd w:id="56"/>
      <w:r>
        <w:rPr>
          <w:rFonts w:ascii="Times New Roman" w:eastAsia="Times New Roman" w:hAnsi="Times New Roman" w:cs="Times New Roman"/>
          <w:b/>
          <w:i w:val="0"/>
          <w:color w:val="000000"/>
          <w:sz w:val="20"/>
          <w:u w:val="single"/>
        </w:rPr>
        <w:t>INDEPENDENT REGISTERED PUBLIC ACCOUNTING FIRM’S CONSENT</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69"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We consent to the incorporation by reference in the Registration Statement on Form S-3 File No. 333-278590, Form S-4 File No. 333-278589, and on Form S-8 File Nos. 333-230967, 333-232754, 333-249986, 333-268220 and 333-289153 of our report dated </w:t>
      </w:r>
      <w:r>
        <w:rPr>
          <w:rFonts w:ascii="Times New Roman" w:eastAsia="Times New Roman" w:hAnsi="Times New Roman" w:cs="Times New Roman"/>
          <w:b w:val="0"/>
          <w:i w:val="0"/>
          <w:color w:val="000000"/>
          <w:sz w:val="20"/>
          <w:u w:val="none"/>
        </w:rPr>
        <w:t>March 6, 2025</w:t>
      </w:r>
      <w:r>
        <w:rPr>
          <w:rFonts w:ascii="Times New Roman" w:eastAsia="Times New Roman" w:hAnsi="Times New Roman" w:cs="Times New Roman"/>
          <w:b w:val="0"/>
          <w:i w:val="0"/>
          <w:sz w:val="20"/>
        </w:rPr>
        <w:t xml:space="preserve">, relating to the financial statements of Asure Software, Inc. as of </w:t>
      </w:r>
      <w:r>
        <w:rPr>
          <w:rFonts w:ascii="Times New Roman" w:eastAsia="Times New Roman" w:hAnsi="Times New Roman" w:cs="Times New Roman"/>
          <w:b w:val="0"/>
          <w:i w:val="0"/>
          <w:color w:val="000000"/>
          <w:sz w:val="20"/>
          <w:u w:val="none"/>
        </w:rPr>
        <w:t>December 31, 2024</w:t>
      </w:r>
      <w:r>
        <w:rPr>
          <w:rFonts w:ascii="Times New Roman" w:eastAsia="Times New Roman" w:hAnsi="Times New Roman" w:cs="Times New Roman"/>
          <w:b w:val="0"/>
          <w:i w:val="0"/>
          <w:sz w:val="20"/>
        </w:rPr>
        <w:t xml:space="preserve"> and the effectiveness of internal control over financial reporting of the Company appearing in this Annual Report on Form 10-K for the year ended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sz w:val="20"/>
        </w:rPr>
        <w:t>.</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 Marcum LLP</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Los Angeles, California</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00"/>
          <w:sz w:val="20"/>
          <w:u w:val="none"/>
        </w:rPr>
        <w:t>February 26, 2026</w:t>
      </w:r>
    </w:p>
    <w:p>
      <w:pPr>
        <w:keepNext w:val="0"/>
        <w:keepLines/>
        <w:pageBreakBefore w:val="0"/>
        <w:widowControl w:val="0"/>
        <w:numPr>
          <w:ilvl w:val="0"/>
          <w:numId w:val="0"/>
        </w:numPr>
        <w:spacing w:before="0" w:after="0" w:line="288" w:lineRule="auto"/>
        <w:ind w:left="0" w:right="0" w:firstLine="0"/>
        <w:jc w:val="left"/>
        <w:outlineLvl w:val="9"/>
        <w:sectPr>
          <w:headerReference w:type="default" r:id="rId87"/>
          <w:pgSz w:w="12240" w:h="15840"/>
          <w:pgMar w:top="855" w:right="990" w:bottom="855" w:left="990" w:header="270" w:footer="0"/>
          <w:cols w:space="708"/>
        </w:sectPr>
      </w:pPr>
    </w:p>
    <w:p>
      <w:pPr>
        <w:keepNext w:val="0"/>
        <w:keepLines/>
        <w:pageBreakBefore w:val="0"/>
        <w:widowControl w:val="0"/>
        <w:numPr>
          <w:ilvl w:val="0"/>
          <w:numId w:val="0"/>
        </w:numPr>
        <w:spacing w:before="0" w:after="0" w:line="288" w:lineRule="auto"/>
        <w:ind w:left="0" w:right="0" w:firstLine="135"/>
        <w:jc w:val="center"/>
        <w:outlineLvl w:val="0"/>
        <w:rPr>
          <w:rFonts w:ascii="Times New Roman" w:eastAsia="Times New Roman" w:hAnsi="Times New Roman" w:cs="Times New Roman"/>
          <w:b/>
          <w:i w:val="0"/>
          <w:sz w:val="20"/>
        </w:rPr>
      </w:pPr>
      <w:bookmarkStart w:id="57" w:name="Section58"/>
      <w:bookmarkEnd w:id="57"/>
      <w:r>
        <w:rPr>
          <w:rFonts w:ascii="Times New Roman" w:eastAsia="Times New Roman" w:hAnsi="Times New Roman" w:cs="Times New Roman"/>
          <w:b/>
          <w:i w:val="0"/>
          <w:sz w:val="20"/>
        </w:rPr>
        <w:t>CERTIFICATION OF PERIODIC REPORT</w:t>
      </w:r>
    </w:p>
    <w:p>
      <w:pPr>
        <w:keepNext w:val="0"/>
        <w:keepLines/>
        <w:pageBreakBefore w:val="0"/>
        <w:widowControl w:val="0"/>
        <w:numPr>
          <w:ilvl w:val="0"/>
          <w:numId w:val="0"/>
        </w:numPr>
        <w:spacing w:before="200" w:after="0" w:line="288" w:lineRule="auto"/>
        <w:ind w:left="0" w:right="0" w:firstLine="135"/>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PURSUANT TO SECTION 302 OF THE SARBANES-OXLEY ACT OF 2002</w:t>
      </w:r>
    </w:p>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 the undersigned, Patrick Goepel, certify, that:</w:t>
      </w:r>
    </w:p>
    <w:p>
      <w:pPr>
        <w:keepNext w:val="0"/>
        <w:keepLines/>
        <w:pageBreakBefore w:val="0"/>
        <w:widowControl w:val="0"/>
        <w:numPr>
          <w:ilvl w:val="0"/>
          <w:numId w:val="24"/>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I have reviewed this annual report on Form 10-K of the Company for the calendar year ended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sz w:val="20"/>
        </w:rPr>
        <w:t xml:space="preserve"> (the “Report”);</w:t>
      </w:r>
    </w:p>
    <w:p>
      <w:pPr>
        <w:keepNext w:val="0"/>
        <w:keepLines/>
        <w:pageBreakBefore w:val="0"/>
        <w:widowControl w:val="0"/>
        <w:numPr>
          <w:ilvl w:val="0"/>
          <w:numId w:val="24"/>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Based on my knowledge, the Report does not contain any untrue statement of a material fact or omit to state a material fact necessary to make the statements made, in light of the circumstances under which such statements were made, not misleading with respect to the periods covered by this Report;</w:t>
      </w:r>
    </w:p>
    <w:p>
      <w:pPr>
        <w:keepNext w:val="0"/>
        <w:keepLines/>
        <w:pageBreakBefore w:val="0"/>
        <w:widowControl w:val="0"/>
        <w:numPr>
          <w:ilvl w:val="0"/>
          <w:numId w:val="24"/>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Based on my knowledge, the financial statements, and other financial information included in the Report, fairly present in all material respects the financial condition, results of operations and cash flows of the Company as of, and for, the periods presented in the Report;</w:t>
      </w:r>
    </w:p>
    <w:p>
      <w:pPr>
        <w:keepNext w:val="0"/>
        <w:keepLines/>
        <w:pageBreakBefore w:val="0"/>
        <w:widowControl w:val="0"/>
        <w:numPr>
          <w:ilvl w:val="0"/>
          <w:numId w:val="24"/>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we have:</w:t>
      </w:r>
    </w:p>
    <w:p>
      <w:pPr>
        <w:keepNext w:val="0"/>
        <w:keepLines/>
        <w:pageBreakBefore w:val="0"/>
        <w:widowControl w:val="0"/>
        <w:numPr>
          <w:ilvl w:val="0"/>
          <w:numId w:val="25"/>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these entities, particularly during the period in which the Report is being prepared;</w:t>
      </w:r>
    </w:p>
    <w:p>
      <w:pPr>
        <w:keepNext w:val="0"/>
        <w:keepLines/>
        <w:pageBreakBefore w:val="0"/>
        <w:widowControl w:val="0"/>
        <w:numPr>
          <w:ilvl w:val="0"/>
          <w:numId w:val="25"/>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keepNext w:val="0"/>
        <w:keepLines/>
        <w:pageBreakBefore w:val="0"/>
        <w:widowControl w:val="0"/>
        <w:numPr>
          <w:ilvl w:val="0"/>
          <w:numId w:val="25"/>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Evaluated the effectiveness of the Company’s disclosure controls and procedures and presented in the Report our conclusions about the effectiveness of the disclosure controls and procedures, as of the end of the period covered by the Report based on such evaluation; and</w:t>
      </w:r>
    </w:p>
    <w:p>
      <w:pPr>
        <w:keepNext w:val="0"/>
        <w:keepLines/>
        <w:pageBreakBefore w:val="0"/>
        <w:widowControl w:val="0"/>
        <w:numPr>
          <w:ilvl w:val="0"/>
          <w:numId w:val="25"/>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Disclosed in the Report any change in the Company’s internal control over financial reporting that occurred during the Company’s most recent fiscal quarter (the quarter ended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sz w:val="20"/>
        </w:rPr>
        <w:t>) that has materially affected, or is reasonably likely to materially affect, the Company’s internal control over financial reporting; and</w:t>
      </w:r>
    </w:p>
    <w:p>
      <w:pPr>
        <w:keepNext w:val="0"/>
        <w:keepLines/>
        <w:pageBreakBefore w:val="0"/>
        <w:widowControl w:val="0"/>
        <w:numPr>
          <w:ilvl w:val="0"/>
          <w:numId w:val="24"/>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Company’s other certifying officer and I have disclosed, based on our most recent evaluation of internal control over financial reporting, to the Company’s auditors and to the Audit Committee of the Board of Directors:</w:t>
      </w:r>
    </w:p>
    <w:p>
      <w:pPr>
        <w:keepNext w:val="0"/>
        <w:keepLines/>
        <w:pageBreakBefore w:val="0"/>
        <w:widowControl w:val="0"/>
        <w:numPr>
          <w:ilvl w:val="0"/>
          <w:numId w:val="26"/>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All significant deficiencies or material weaknesses in the design or operation of internal control over financial reporting which are reasonably likely to adversely affect the Company’s ability to record, process, summarize and report financial information; and</w:t>
      </w:r>
    </w:p>
    <w:p>
      <w:pPr>
        <w:keepNext w:val="0"/>
        <w:keepLines/>
        <w:pageBreakBefore w:val="0"/>
        <w:widowControl w:val="0"/>
        <w:numPr>
          <w:ilvl w:val="0"/>
          <w:numId w:val="26"/>
        </w:numPr>
        <w:spacing w:before="200" w:after="10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Any fraud, whether or not material, that involves management or other employees who have a significant role in the Company’s internal control over financial reporting.</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50"/>
        <w:gridCol w:w="405"/>
        <w:gridCol w:w="7005"/>
      </w:tblGrid>
      <w:tr>
        <w:tblPrEx>
          <w:tblW w:w="10260" w:type="dxa"/>
          <w:tblInd w:w="0" w:type="dxa"/>
          <w:tblLayout w:type="fixed"/>
        </w:tblPrEx>
        <w:trPr>
          <w:cantSplit/>
          <w:trHeight w:hRule="exact" w:val="285"/>
        </w:trPr>
        <w:tc>
          <w:tcPr>
            <w:tcW w:w="285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Date: </w:t>
            </w:r>
            <w:r>
              <w:rPr>
                <w:rFonts w:ascii="Times New Roman" w:eastAsia="Times New Roman" w:hAnsi="Times New Roman" w:cs="Times New Roman"/>
                <w:b w:val="0"/>
                <w:i w:val="0"/>
                <w:color w:val="000000"/>
                <w:sz w:val="20"/>
                <w:u w:val="none"/>
              </w:rPr>
              <w:t>February 26, 2026</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700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Patrick Goepel</w:t>
            </w:r>
          </w:p>
        </w:tc>
      </w:tr>
      <w:tr>
        <w:tblPrEx>
          <w:tblW w:w="10260" w:type="dxa"/>
          <w:tblInd w:w="0" w:type="dxa"/>
          <w:tblLayout w:type="fixed"/>
        </w:tblPrEx>
        <w:trPr>
          <w:cantSplit/>
          <w:trHeight w:hRule="exact" w:val="285"/>
        </w:trPr>
        <w:tc>
          <w:tcPr>
            <w:tcW w:w="2850"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700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Patrick Goepel</w:t>
            </w:r>
          </w:p>
        </w:tc>
      </w:tr>
      <w:tr>
        <w:tblPrEx>
          <w:tblW w:w="10260" w:type="dxa"/>
          <w:tblInd w:w="0" w:type="dxa"/>
          <w:tblLayout w:type="fixed"/>
        </w:tblPrEx>
        <w:trPr>
          <w:cantSplit/>
          <w:trHeight w:hRule="exact" w:val="285"/>
        </w:trPr>
        <w:tc>
          <w:tcPr>
            <w:tcW w:w="285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70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Chief Executive Officer</w:t>
            </w:r>
          </w:p>
        </w:tc>
      </w:tr>
    </w:tbl>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sectPr>
          <w:headerReference w:type="default" r:id="rId88"/>
          <w:pgSz w:w="12240" w:h="15840"/>
          <w:pgMar w:top="855" w:right="990" w:bottom="855" w:left="990" w:header="270" w:footer="0"/>
          <w:cols w:space="708"/>
        </w:sectPr>
      </w:pPr>
    </w:p>
    <w:p>
      <w:pPr>
        <w:keepNext w:val="0"/>
        <w:keepLines/>
        <w:pageBreakBefore w:val="0"/>
        <w:widowControl w:val="0"/>
        <w:numPr>
          <w:ilvl w:val="0"/>
          <w:numId w:val="0"/>
        </w:numPr>
        <w:spacing w:before="0" w:after="0" w:line="288" w:lineRule="auto"/>
        <w:ind w:left="0" w:right="0" w:firstLine="135"/>
        <w:jc w:val="center"/>
        <w:outlineLvl w:val="0"/>
        <w:rPr>
          <w:rFonts w:ascii="Times New Roman" w:eastAsia="Times New Roman" w:hAnsi="Times New Roman" w:cs="Times New Roman"/>
          <w:b/>
          <w:i w:val="0"/>
          <w:sz w:val="20"/>
        </w:rPr>
      </w:pPr>
      <w:bookmarkStart w:id="58" w:name="Section59"/>
      <w:bookmarkEnd w:id="58"/>
      <w:r>
        <w:rPr>
          <w:rFonts w:ascii="Times New Roman" w:eastAsia="Times New Roman" w:hAnsi="Times New Roman" w:cs="Times New Roman"/>
          <w:b/>
          <w:i w:val="0"/>
          <w:sz w:val="20"/>
        </w:rPr>
        <w:t>CERTIFICATION OF PERIODIC REPORT</w:t>
      </w:r>
    </w:p>
    <w:p>
      <w:pPr>
        <w:keepNext w:val="0"/>
        <w:keepLines/>
        <w:pageBreakBefore w:val="0"/>
        <w:widowControl w:val="0"/>
        <w:numPr>
          <w:ilvl w:val="0"/>
          <w:numId w:val="0"/>
        </w:numPr>
        <w:spacing w:before="200" w:after="0" w:line="288" w:lineRule="auto"/>
        <w:ind w:left="0" w:right="0" w:firstLine="135"/>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PURSUANT TO SECTION 302 OF THE SARBANES-OXLEY ACT OF 2002</w:t>
      </w:r>
    </w:p>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 the undersigned, John Pence, certify, that:</w:t>
      </w:r>
    </w:p>
    <w:p>
      <w:pPr>
        <w:keepNext w:val="0"/>
        <w:keepLines/>
        <w:pageBreakBefore w:val="0"/>
        <w:widowControl w:val="0"/>
        <w:numPr>
          <w:ilvl w:val="0"/>
          <w:numId w:val="27"/>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I have reviewed this annual report on Form 10-K of the Company for the calendar year ended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sz w:val="20"/>
        </w:rPr>
        <w:t xml:space="preserve"> (the “Report”);</w:t>
      </w:r>
    </w:p>
    <w:p>
      <w:pPr>
        <w:keepNext w:val="0"/>
        <w:keepLines/>
        <w:pageBreakBefore w:val="0"/>
        <w:widowControl w:val="0"/>
        <w:numPr>
          <w:ilvl w:val="0"/>
          <w:numId w:val="27"/>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Based on my knowledge, the Report does not contain any untrue statement of a material fact or omit to state a material fact necessary to make the statements made, in light of the circumstances under which such statements were made, not misleading with respect to the periods covered by this Report;</w:t>
      </w:r>
    </w:p>
    <w:p>
      <w:pPr>
        <w:keepNext w:val="0"/>
        <w:keepLines/>
        <w:pageBreakBefore w:val="0"/>
        <w:widowControl w:val="0"/>
        <w:numPr>
          <w:ilvl w:val="0"/>
          <w:numId w:val="27"/>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Based on my knowledge, the financial statements, and other financial information included in the Report, fairly present in all material respects the financial condition, results of operations and cash flows of the Company as of, and for, the periods presented in the Report;</w:t>
      </w:r>
    </w:p>
    <w:p>
      <w:pPr>
        <w:keepNext w:val="0"/>
        <w:keepLines/>
        <w:pageBreakBefore w:val="0"/>
        <w:widowControl w:val="0"/>
        <w:numPr>
          <w:ilvl w:val="0"/>
          <w:numId w:val="27"/>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we have:</w:t>
      </w:r>
    </w:p>
    <w:p>
      <w:pPr>
        <w:keepNext w:val="0"/>
        <w:keepLines/>
        <w:pageBreakBefore w:val="0"/>
        <w:widowControl w:val="0"/>
        <w:numPr>
          <w:ilvl w:val="0"/>
          <w:numId w:val="28"/>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these entities, particularly during the period in which the Report is being prepared;</w:t>
      </w:r>
    </w:p>
    <w:p>
      <w:pPr>
        <w:keepNext w:val="0"/>
        <w:keepLines/>
        <w:pageBreakBefore w:val="0"/>
        <w:widowControl w:val="0"/>
        <w:numPr>
          <w:ilvl w:val="0"/>
          <w:numId w:val="28"/>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keepNext w:val="0"/>
        <w:keepLines/>
        <w:pageBreakBefore w:val="0"/>
        <w:widowControl w:val="0"/>
        <w:numPr>
          <w:ilvl w:val="0"/>
          <w:numId w:val="28"/>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Evaluated the effectiveness of the Company’s disclosure controls and procedures and presented in the Report our conclusions about the effectiveness of the disclosure controls and procedures, as of the end of the period covered by the Report based on such evaluation; and</w:t>
      </w:r>
    </w:p>
    <w:p>
      <w:pPr>
        <w:keepNext w:val="0"/>
        <w:keepLines/>
        <w:pageBreakBefore w:val="0"/>
        <w:widowControl w:val="0"/>
        <w:numPr>
          <w:ilvl w:val="0"/>
          <w:numId w:val="28"/>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Disclosed in the Report any change in the Company’s internal control over financial reporting that occurred during the Company’s most recent fiscal quarter (the quarter ended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sz w:val="20"/>
        </w:rPr>
        <w:t>) that has materially affected, or is reasonably likely to materially affect, the Company’s internal control over financial reporting; and</w:t>
      </w:r>
    </w:p>
    <w:p>
      <w:pPr>
        <w:keepNext w:val="0"/>
        <w:keepLines/>
        <w:pageBreakBefore w:val="0"/>
        <w:widowControl w:val="0"/>
        <w:numPr>
          <w:ilvl w:val="0"/>
          <w:numId w:val="27"/>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Company’s other certifying officer and I have disclosed, based on our most recent evaluation of internal control over financial reporting, to the Company’s auditors and to the Audit Committee of the Board of Directors:</w:t>
      </w:r>
    </w:p>
    <w:p>
      <w:pPr>
        <w:keepNext w:val="0"/>
        <w:keepLines/>
        <w:pageBreakBefore w:val="0"/>
        <w:widowControl w:val="0"/>
        <w:numPr>
          <w:ilvl w:val="0"/>
          <w:numId w:val="29"/>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All significant deficiencies or material weaknesses in the design or operation of internal control over financial reporting which are reasonably likely to adversely affect the Company’s ability to record, process, summarize and report financial information; and</w:t>
      </w:r>
    </w:p>
    <w:p>
      <w:pPr>
        <w:keepNext w:val="0"/>
        <w:keepLines/>
        <w:pageBreakBefore w:val="0"/>
        <w:widowControl w:val="0"/>
        <w:numPr>
          <w:ilvl w:val="0"/>
          <w:numId w:val="29"/>
        </w:numPr>
        <w:spacing w:before="200" w:after="10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Any fraud, whether or not material, that involves management or other employees who have a significant role in the Company’s internal control over financial reporting.</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65"/>
        <w:gridCol w:w="405"/>
        <w:gridCol w:w="6990"/>
      </w:tblGrid>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Date: </w:t>
            </w:r>
            <w:r>
              <w:rPr>
                <w:rFonts w:ascii="Times New Roman" w:eastAsia="Times New Roman" w:hAnsi="Times New Roman" w:cs="Times New Roman"/>
                <w:b w:val="0"/>
                <w:i w:val="0"/>
                <w:color w:val="000000"/>
                <w:sz w:val="20"/>
                <w:u w:val="none"/>
              </w:rPr>
              <w:t>February 26, 2026</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699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John Pence</w:t>
            </w:r>
          </w:p>
        </w:tc>
      </w:tr>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69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John Pence</w:t>
            </w:r>
          </w:p>
        </w:tc>
      </w:tr>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699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Chief Financial Officer and Principal Accounting Officer</w:t>
            </w:r>
          </w:p>
        </w:tc>
      </w:tr>
    </w:tbl>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sectPr>
          <w:headerReference w:type="default" r:id="rId89"/>
          <w:pgSz w:w="12240" w:h="15840"/>
          <w:pgMar w:top="855" w:right="990" w:bottom="855" w:left="990" w:header="270" w:footer="0"/>
          <w:cols w:space="708"/>
        </w:sectPr>
      </w:pPr>
    </w:p>
    <w:p>
      <w:pPr>
        <w:keepNext w:val="0"/>
        <w:keepLines/>
        <w:pageBreakBefore w:val="0"/>
        <w:widowControl w:val="0"/>
        <w:numPr>
          <w:ilvl w:val="0"/>
          <w:numId w:val="0"/>
        </w:numPr>
        <w:spacing w:before="0" w:after="0" w:line="288" w:lineRule="auto"/>
        <w:ind w:left="0" w:right="0" w:firstLine="135"/>
        <w:jc w:val="center"/>
        <w:outlineLvl w:val="0"/>
        <w:rPr>
          <w:rFonts w:ascii="Times New Roman" w:eastAsia="Times New Roman" w:hAnsi="Times New Roman" w:cs="Times New Roman"/>
          <w:b/>
          <w:i w:val="0"/>
          <w:sz w:val="20"/>
        </w:rPr>
      </w:pPr>
      <w:bookmarkStart w:id="59" w:name="Section60"/>
      <w:bookmarkEnd w:id="59"/>
      <w:r>
        <w:rPr>
          <w:rFonts w:ascii="Times New Roman" w:eastAsia="Times New Roman" w:hAnsi="Times New Roman" w:cs="Times New Roman"/>
          <w:b/>
          <w:i w:val="0"/>
          <w:sz w:val="20"/>
        </w:rPr>
        <w:t>CERTIFICATION OF PERIODIC REPORT</w:t>
      </w:r>
    </w:p>
    <w:p>
      <w:pPr>
        <w:keepNext w:val="0"/>
        <w:keepLines/>
        <w:pageBreakBefore w:val="0"/>
        <w:widowControl w:val="0"/>
        <w:numPr>
          <w:ilvl w:val="0"/>
          <w:numId w:val="0"/>
        </w:numPr>
        <w:spacing w:before="200" w:after="0" w:line="288" w:lineRule="auto"/>
        <w:ind w:left="0" w:right="0" w:firstLine="135"/>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PURSUANT TO SECTION 906 OF THE SARBANES-OXLEY ACT OF 2002</w:t>
      </w:r>
    </w:p>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 the undersigned, Patrick Goepel, do hereby certify, pursuant to 18 U.S.C. Section 1350, as adopted by Section 906 of the Sarbanes-Oxley Act of 2002, that:</w:t>
      </w:r>
    </w:p>
    <w:p>
      <w:pPr>
        <w:keepNext w:val="0"/>
        <w:keepLines/>
        <w:pageBreakBefore w:val="0"/>
        <w:widowControl w:val="0"/>
        <w:numPr>
          <w:ilvl w:val="0"/>
          <w:numId w:val="30"/>
        </w:numPr>
        <w:spacing w:before="20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 annual report on Form 10-K of the Company for the period ended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sz w:val="20"/>
        </w:rPr>
        <w:t xml:space="preserve"> (the “Report”) fully complies with the requirements of section 13(a) or 15(d) of the Securities Exchange Act of 1934 as amended, and</w:t>
      </w:r>
    </w:p>
    <w:p>
      <w:pPr>
        <w:keepNext w:val="0"/>
        <w:keepLines/>
        <w:pageBreakBefore w:val="0"/>
        <w:widowControl w:val="0"/>
        <w:numPr>
          <w:ilvl w:val="0"/>
          <w:numId w:val="30"/>
        </w:numPr>
        <w:spacing w:before="200" w:after="10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information contained in the Report fairly presents, in all material respects, the financial condition and results of operations of the Company.</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65"/>
        <w:gridCol w:w="405"/>
        <w:gridCol w:w="6990"/>
      </w:tblGrid>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Date: </w:t>
            </w:r>
            <w:r>
              <w:rPr>
                <w:rFonts w:ascii="Times New Roman" w:eastAsia="Times New Roman" w:hAnsi="Times New Roman" w:cs="Times New Roman"/>
                <w:b w:val="0"/>
                <w:i w:val="0"/>
                <w:color w:val="000000"/>
                <w:sz w:val="20"/>
                <w:u w:val="none"/>
              </w:rPr>
              <w:t>February 26, 2026</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699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Patrick Goepel</w:t>
            </w:r>
          </w:p>
        </w:tc>
      </w:tr>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69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Patrick Goepel</w:t>
            </w:r>
          </w:p>
        </w:tc>
      </w:tr>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699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Chief Executive Officer</w:t>
            </w:r>
          </w:p>
        </w:tc>
      </w:tr>
    </w:tbl>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 signed original of this written statement required by Section 906 has been provided to Asure Software, Inc. and will be retained by Asure Software, Inc. and furnished to the Securities and Exchange Commission or its staff upon request. The foregoing certification is being furnished solely pursuant to 18 U.S.C. Section 1350 and is not being filed as part of the Report or as a separate disclosure document.</w:t>
      </w:r>
    </w:p>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sectPr>
          <w:headerReference w:type="default" r:id="rId90"/>
          <w:pgSz w:w="12240" w:h="15840"/>
          <w:pgMar w:top="855" w:right="990" w:bottom="855" w:left="990" w:header="270" w:footer="0"/>
          <w:cols w:space="708"/>
        </w:sectPr>
      </w:pPr>
    </w:p>
    <w:p>
      <w:pPr>
        <w:keepNext w:val="0"/>
        <w:keepLines/>
        <w:pageBreakBefore w:val="0"/>
        <w:widowControl w:val="0"/>
        <w:numPr>
          <w:ilvl w:val="0"/>
          <w:numId w:val="0"/>
        </w:numPr>
        <w:spacing w:before="0" w:after="0" w:line="288" w:lineRule="auto"/>
        <w:ind w:left="0" w:right="0" w:firstLine="135"/>
        <w:jc w:val="center"/>
        <w:outlineLvl w:val="0"/>
        <w:rPr>
          <w:rFonts w:ascii="Times New Roman" w:eastAsia="Times New Roman" w:hAnsi="Times New Roman" w:cs="Times New Roman"/>
          <w:b/>
          <w:i w:val="0"/>
          <w:sz w:val="20"/>
        </w:rPr>
      </w:pPr>
      <w:bookmarkStart w:id="60" w:name="Section61"/>
      <w:bookmarkEnd w:id="60"/>
      <w:r>
        <w:rPr>
          <w:rFonts w:ascii="Times New Roman" w:eastAsia="Times New Roman" w:hAnsi="Times New Roman" w:cs="Times New Roman"/>
          <w:b/>
          <w:i w:val="0"/>
          <w:sz w:val="20"/>
        </w:rPr>
        <w:t>CERTIFICATION OF PERIODIC REPORT</w:t>
      </w:r>
    </w:p>
    <w:p>
      <w:pPr>
        <w:keepNext w:val="0"/>
        <w:keepLines/>
        <w:pageBreakBefore w:val="0"/>
        <w:widowControl w:val="0"/>
        <w:numPr>
          <w:ilvl w:val="0"/>
          <w:numId w:val="0"/>
        </w:numPr>
        <w:spacing w:before="200" w:after="0" w:line="288" w:lineRule="auto"/>
        <w:ind w:left="0" w:right="0" w:firstLine="135"/>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PURSUANT TO SECTION 906 OF THE SARBANES-OXLEY ACT OF 2002</w:t>
      </w:r>
    </w:p>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 the undersigned, John Pence, do hereby certify, pursuant to 18 U.S.C. Section 1350, as adopted by Section 906 of the Sarbanes-Oxley Act of 2002, that:</w:t>
      </w:r>
    </w:p>
    <w:p>
      <w:pPr>
        <w:keepNext w:val="0"/>
        <w:keepLines/>
        <w:pageBreakBefore w:val="0"/>
        <w:widowControl w:val="0"/>
        <w:numPr>
          <w:ilvl w:val="0"/>
          <w:numId w:val="31"/>
        </w:numPr>
        <w:spacing w:before="20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 annual report on Form 10-K of the Company for the period ended </w:t>
      </w:r>
      <w:r>
        <w:rPr>
          <w:rFonts w:ascii="Times New Roman" w:eastAsia="Times New Roman" w:hAnsi="Times New Roman" w:cs="Times New Roman"/>
          <w:b w:val="0"/>
          <w:i w:val="0"/>
          <w:color w:val="000000"/>
          <w:sz w:val="20"/>
          <w:u w:val="none"/>
        </w:rPr>
        <w:t>December 31, 2025</w:t>
      </w:r>
      <w:r>
        <w:rPr>
          <w:rFonts w:ascii="Times New Roman" w:eastAsia="Times New Roman" w:hAnsi="Times New Roman" w:cs="Times New Roman"/>
          <w:b w:val="0"/>
          <w:i w:val="0"/>
          <w:sz w:val="20"/>
        </w:rPr>
        <w:t xml:space="preserve"> (the “Report”) fully complies with the requirements of section 13(a) or 15(d) of the Securities Exchange Act of 1934 as amended, and</w:t>
      </w:r>
    </w:p>
    <w:p>
      <w:pPr>
        <w:keepNext w:val="0"/>
        <w:keepLines/>
        <w:pageBreakBefore w:val="0"/>
        <w:widowControl w:val="0"/>
        <w:numPr>
          <w:ilvl w:val="0"/>
          <w:numId w:val="31"/>
        </w:numPr>
        <w:spacing w:before="200" w:after="10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information contained in the Report fairly presents, in all material respects, the financial condition and results of operations of the Company.</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65"/>
        <w:gridCol w:w="405"/>
        <w:gridCol w:w="6990"/>
      </w:tblGrid>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Date: </w:t>
            </w:r>
            <w:r>
              <w:rPr>
                <w:rFonts w:ascii="Times New Roman" w:eastAsia="Times New Roman" w:hAnsi="Times New Roman" w:cs="Times New Roman"/>
                <w:b w:val="0"/>
                <w:i w:val="0"/>
                <w:color w:val="000000"/>
                <w:sz w:val="20"/>
                <w:u w:val="none"/>
              </w:rPr>
              <w:t>February 26, 2026</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699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John Pence</w:t>
            </w:r>
          </w:p>
        </w:tc>
      </w:tr>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 </w:t>
            </w:r>
          </w:p>
        </w:tc>
        <w:tc>
          <w:tcPr>
            <w:tcW w:w="69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John Pence</w:t>
            </w:r>
          </w:p>
        </w:tc>
      </w:tr>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 </w:t>
            </w:r>
          </w:p>
        </w:tc>
        <w:tc>
          <w:tcPr>
            <w:tcW w:w="699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Chief Financial Officer and Principal Accounting Officer</w:t>
            </w:r>
          </w:p>
        </w:tc>
      </w:tr>
    </w:tbl>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 signed original of this written statement required by Section 906 has been provided to Asure Software, Inc. and will be retained by Asure Software, Inc. and furnished to the Securities and Exchange Commission or its staff upon request. The foregoing certification is being furnished solely pursuant to 18 U.S.C. Section 1350 and is not being filed as part of the Report or as a separate disclosure document.</w:t>
      </w:r>
    </w:p>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pPr>
    </w:p>
    <w:sectPr>
      <w:headerReference w:type="default" r:id="rId91"/>
      <w:pgSz w:w="12240" w:h="15840"/>
      <w:pgMar w:top="855" w:right="990" w:bottom="855" w:left="990" w:header="270" w:foo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630" w:right="630" w:firstLine="0"/>
      <w:jc w:val="center"/>
      <w:outlineLvl w:val="9"/>
      <w:rPr>
        <w:rFonts w:ascii="Times New Roman" w:eastAsia="Times New Roman" w:hAnsi="Times New Roman" w:cs="Times New Roman"/>
        <w:b w:val="0"/>
        <w:i w:val="0"/>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630" w:right="630" w:firstLine="0"/>
      <w:jc w:val="left"/>
      <w:outlineLvl w:val="9"/>
      <w:rPr>
        <w:rFonts w:ascii="Times New Roman" w:eastAsia="Times New Roman" w:hAnsi="Times New Roman" w:cs="Times New Roman"/>
        <w:b w:val="0"/>
        <w:i w:val="0"/>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fldChar w:fldCharType="begin"/>
    </w:r>
    <w:r>
      <w:rPr>
        <w:rFonts w:ascii="Times New Roman" w:eastAsia="Times New Roman" w:hAnsi="Times New Roman" w:cs="Times New Roman"/>
        <w:b w:val="0"/>
        <w:i w:val="0"/>
        <w:sz w:val="20"/>
      </w:rPr>
      <w:instrText xml:space="preserve"> PAGE </w:instrText>
    </w:r>
    <w:r>
      <w:rPr>
        <w:rFonts w:ascii="Times New Roman" w:eastAsia="Times New Roman" w:hAnsi="Times New Roman" w:cs="Times New Roman"/>
        <w:b w:val="0"/>
        <w:i w:val="0"/>
        <w:sz w:val="20"/>
      </w:rPr>
      <w:fldChar w:fldCharType="separate"/>
    </w:r>
    <w:r>
      <w:rPr>
        <w:rFonts w:ascii="Times New Roman" w:eastAsia="Times New Roman" w:hAnsi="Times New Roman" w:cs="Times New Roman"/>
        <w:b w:val="0"/>
        <w:i w:val="0"/>
        <w:sz w:val="20"/>
      </w:rPr>
      <w:t>33</w:t>
    </w:r>
    <w:r>
      <w:rPr>
        <w:rFonts w:ascii="Times New Roman" w:eastAsia="Times New Roman" w:hAnsi="Times New Roman" w:cs="Times New Roman"/>
        <w:b w:val="0"/>
        <w:i w:val="0"/>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fldChar w:fldCharType="begin"/>
    </w:r>
    <w:r>
      <w:rPr>
        <w:rFonts w:ascii="Times New Roman" w:eastAsia="Times New Roman" w:hAnsi="Times New Roman" w:cs="Times New Roman"/>
        <w:b w:val="0"/>
        <w:i w:val="0"/>
        <w:sz w:val="20"/>
      </w:rPr>
      <w:instrText xml:space="preserve"> PAGE </w:instrText>
    </w:r>
    <w:r>
      <w:rPr>
        <w:rFonts w:ascii="Times New Roman" w:eastAsia="Times New Roman" w:hAnsi="Times New Roman" w:cs="Times New Roman"/>
        <w:b w:val="0"/>
        <w:i w:val="0"/>
        <w:sz w:val="20"/>
      </w:rPr>
      <w:fldChar w:fldCharType="separate"/>
    </w:r>
    <w:r>
      <w:rPr>
        <w:rFonts w:ascii="Times New Roman" w:eastAsia="Times New Roman" w:hAnsi="Times New Roman" w:cs="Times New Roman"/>
        <w:b w:val="0"/>
        <w:i w:val="0"/>
        <w:sz w:val="20"/>
      </w:rPr>
      <w:t>36</w:t>
    </w:r>
    <w:r>
      <w:rPr>
        <w:rFonts w:ascii="Times New Roman" w:eastAsia="Times New Roman" w:hAnsi="Times New Roman" w:cs="Times New Roman"/>
        <w:b w:val="0"/>
        <w:i w:val="0"/>
        <w:sz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fldChar w:fldCharType="begin"/>
    </w:r>
    <w:r>
      <w:rPr>
        <w:rFonts w:ascii="Times New Roman" w:eastAsia="Times New Roman" w:hAnsi="Times New Roman" w:cs="Times New Roman"/>
        <w:b w:val="0"/>
        <w:i w:val="0"/>
        <w:sz w:val="20"/>
      </w:rPr>
      <w:instrText xml:space="preserve"> PAGE </w:instrText>
    </w:r>
    <w:r>
      <w:rPr>
        <w:rFonts w:ascii="Times New Roman" w:eastAsia="Times New Roman" w:hAnsi="Times New Roman" w:cs="Times New Roman"/>
        <w:b w:val="0"/>
        <w:i w:val="0"/>
        <w:sz w:val="20"/>
      </w:rPr>
      <w:fldChar w:fldCharType="separate"/>
    </w:r>
    <w:r>
      <w:rPr>
        <w:rFonts w:ascii="Times New Roman" w:eastAsia="Times New Roman" w:hAnsi="Times New Roman" w:cs="Times New Roman"/>
        <w:b w:val="0"/>
        <w:i w:val="0"/>
        <w:sz w:val="20"/>
      </w:rPr>
      <w:t>72</w:t>
    </w:r>
    <w:r>
      <w:rPr>
        <w:rFonts w:ascii="Times New Roman" w:eastAsia="Times New Roman" w:hAnsi="Times New Roman" w:cs="Times New Roman"/>
        <w:b w:val="0"/>
        <w:i w:val="0"/>
        <w:sz w:val="20"/>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630" w:right="63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630" w:right="630" w:firstLine="0"/>
      <w:jc w:val="center"/>
      <w:outlineLvl w:val="9"/>
      <w:rPr>
        <w:rFonts w:ascii="Times New Roman" w:eastAsia="Times New Roman" w:hAnsi="Times New Roman" w:cs="Times New Roman"/>
        <w:b w:val="0"/>
        <w:i w:val="0"/>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right"/>
      <w:outlineLvl w:val="0"/>
      <w:rPr>
        <w:rFonts w:ascii="Times New Roman" w:eastAsia="Times New Roman" w:hAnsi="Times New Roman" w:cs="Times New Roman"/>
        <w:b w:val="0"/>
        <w:i w:val="0"/>
        <w:sz w:val="20"/>
      </w:rPr>
    </w:pPr>
    <w:r>
      <w:rPr>
        <w:rFonts w:ascii="Times New Roman" w:eastAsia="Times New Roman" w:hAnsi="Times New Roman" w:cs="Times New Roman"/>
        <w:b/>
        <w:i w:val="0"/>
        <w:sz w:val="20"/>
      </w:rPr>
      <w:t>EXHIBIT 31.2</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right"/>
      <w:outlineLvl w:val="0"/>
      <w:rPr>
        <w:rFonts w:ascii="Times New Roman" w:eastAsia="Times New Roman" w:hAnsi="Times New Roman" w:cs="Times New Roman"/>
        <w:b w:val="0"/>
        <w:i w:val="0"/>
        <w:sz w:val="20"/>
      </w:rPr>
    </w:pPr>
    <w:r>
      <w:rPr>
        <w:rFonts w:ascii="Times New Roman" w:eastAsia="Times New Roman" w:hAnsi="Times New Roman" w:cs="Times New Roman"/>
        <w:b/>
        <w:i w:val="0"/>
        <w:sz w:val="20"/>
      </w:rPr>
      <w:t>EXHIBIT 32.</w:t>
    </w:r>
    <w:r>
      <w:rPr>
        <w:rFonts w:ascii="Times New Roman" w:eastAsia="Times New Roman" w:hAnsi="Times New Roman" w:cs="Times New Roman"/>
        <w:b/>
        <w:i w:val="0"/>
        <w:sz w:val="20"/>
      </w:rPr>
      <w:t>1</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right"/>
      <w:outlineLvl w:val="0"/>
      <w:rPr>
        <w:rFonts w:ascii="Times New Roman" w:eastAsia="Times New Roman" w:hAnsi="Times New Roman" w:cs="Times New Roman"/>
        <w:b w:val="0"/>
        <w:i w:val="0"/>
        <w:sz w:val="20"/>
      </w:rPr>
    </w:pPr>
    <w:r>
      <w:rPr>
        <w:rFonts w:ascii="Times New Roman" w:eastAsia="Times New Roman" w:hAnsi="Times New Roman" w:cs="Times New Roman"/>
        <w:b/>
        <w:i w:val="0"/>
        <w:sz w:val="20"/>
      </w:rPr>
      <w:t>EXHIBIT 32.2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630" w:right="630" w:firstLine="0"/>
      <w:jc w:val="left"/>
      <w:outlineLvl w:val="9"/>
      <w:rPr>
        <w:rFonts w:ascii="Times New Roman" w:eastAsia="Times New Roman" w:hAnsi="Times New Roman" w:cs="Times New Roman"/>
        <w:b w:val="0"/>
        <w:i w:val="0"/>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 w:history="1">
      <w:r>
        <w:rPr>
          <w:rFonts w:ascii="Times New Roman" w:eastAsia="Times New Roman" w:hAnsi="Times New Roman" w:cs="Times New Roman"/>
          <w:b w:val="0"/>
          <w:i w:val="0"/>
          <w:color w:val="0000FF"/>
          <w:sz w:val="20"/>
          <w:u w:val="single"/>
          <w:shd w:val="clear" w:color="auto" w:fill="auto"/>
        </w:rPr>
        <w:t>Table of Contents</w:t>
      </w:r>
    </w:hyperlink>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 w:history="1">
      <w:r>
        <w:rPr>
          <w:rFonts w:ascii="Times New Roman" w:eastAsia="Times New Roman" w:hAnsi="Times New Roman" w:cs="Times New Roman"/>
          <w:b w:val="0"/>
          <w:i w:val="0"/>
          <w:color w:val="0000FF"/>
          <w:sz w:val="20"/>
          <w:u w:val="single"/>
          <w:shd w:val="clear" w:color="auto" w:fill="auto"/>
        </w:rPr>
        <w:t>Table of Contents</w:t>
      </w:r>
    </w:hyperlink>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 w:history="1">
      <w:r>
        <w:rPr>
          <w:rFonts w:ascii="Times New Roman" w:eastAsia="Times New Roman" w:hAnsi="Times New Roman" w:cs="Times New Roman"/>
          <w:b w:val="0"/>
          <w:i w:val="0"/>
          <w:color w:val="0000FF"/>
          <w:sz w:val="20"/>
          <w:u w:val="single"/>
          <w:shd w:val="clear" w:color="auto" w:fill="auto"/>
        </w:rPr>
        <w:t>Table of Contents</w:t>
      </w:r>
    </w:hyperlink>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 w:history="1">
      <w:r>
        <w:rPr>
          <w:rFonts w:ascii="Times New Roman" w:eastAsia="Times New Roman" w:hAnsi="Times New Roman" w:cs="Times New Roman"/>
          <w:b w:val="0"/>
          <w:i w:val="0"/>
          <w:color w:val="0000FF"/>
          <w:sz w:val="20"/>
          <w:u w:val="single"/>
          <w:shd w:val="clear" w:color="auto" w:fill="auto"/>
        </w:rPr>
        <w:t>Table of Contents</w:t>
      </w:r>
    </w:hyperlink>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right"/>
      <w:outlineLvl w:val="0"/>
      <w:rPr>
        <w:rFonts w:ascii="Times New Roman" w:eastAsia="Times New Roman" w:hAnsi="Times New Roman" w:cs="Times New Roman"/>
        <w:b w:val="0"/>
        <w:i w:val="0"/>
        <w:sz w:val="20"/>
      </w:rPr>
    </w:pPr>
    <w:r>
      <w:rPr>
        <w:rFonts w:ascii="Times New Roman" w:eastAsia="Times New Roman" w:hAnsi="Times New Roman" w:cs="Times New Roman"/>
        <w:b/>
        <w:i w:val="0"/>
        <w:sz w:val="20"/>
      </w:rPr>
      <w:t>EXHIBIT 23.1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right"/>
      <w:outlineLvl w:val="0"/>
      <w:rPr>
        <w:rFonts w:ascii="Times New Roman" w:eastAsia="Times New Roman" w:hAnsi="Times New Roman" w:cs="Times New Roman"/>
        <w:b w:val="0"/>
        <w:i w:val="0"/>
        <w:sz w:val="20"/>
      </w:rPr>
    </w:pPr>
    <w:r>
      <w:rPr>
        <w:rFonts w:ascii="Times New Roman" w:eastAsia="Times New Roman" w:hAnsi="Times New Roman" w:cs="Times New Roman"/>
        <w:b/>
        <w:i w:val="0"/>
        <w:sz w:val="20"/>
      </w:rPr>
      <w:t>EXHIBIT 23.2</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right"/>
      <w:outlineLvl w:val="0"/>
      <w:rPr>
        <w:rFonts w:ascii="Times New Roman" w:eastAsia="Times New Roman" w:hAnsi="Times New Roman" w:cs="Times New Roman"/>
        <w:b w:val="0"/>
        <w:i w:val="0"/>
        <w:sz w:val="20"/>
      </w:rPr>
    </w:pPr>
    <w:r>
      <w:rPr>
        <w:rFonts w:ascii="Times New Roman" w:eastAsia="Times New Roman" w:hAnsi="Times New Roman" w:cs="Times New Roman"/>
        <w:b/>
        <w:i w:val="0"/>
        <w:sz w:val="20"/>
      </w:rPr>
      <w:t>EXHIBIT 31.1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nsid w:val="0000000E"/>
    <w:multiLevelType w:val="hybridMultilevel"/>
    <w:tmpl w:val="0000000E"/>
    <w:lvl w:ilvl="0">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tabs>
          <w:tab w:val="num" w:pos="720"/>
        </w:tabs>
        <w:ind w:left="720" w:hanging="360"/>
      </w:pPr>
      <w:rPr>
        <w:rFonts w:ascii="Times New Roman" w:eastAsia="Times New Roman" w:hAnsi="Times New Roman" w:cs="Times New Roman"/>
        <w:b/>
        <w:i/>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2"/>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00000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00000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00000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00000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multilevel"/>
    <w:tmpl w:val="00000009"/>
    <w:lvl w:ilvl="0">
      <w:start w:val="1"/>
      <w:numFmt w:val="lowerLetter"/>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22">
    <w:nsid w:val="00000017"/>
    <w:multiLevelType w:val="multilevel"/>
    <w:tmpl w:val="00000008"/>
    <w:lvl w:ilvl="0">
      <w:start w:val="1"/>
      <w:numFmt w:val="decimal"/>
      <w:lvlText w:val="(%1)"/>
      <w:lvlJc w:val="left"/>
      <w:pPr>
        <w:tabs>
          <w:tab w:val="num" w:pos="144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multilevel"/>
    <w:tmpl w:val="00000009"/>
    <w:lvl w:ilvl="0">
      <w:start w:val="1"/>
      <w:numFmt w:val="lowerLetter"/>
      <w:lvlText w:val="(%1)"/>
      <w:lvlJc w:val="left"/>
      <w:pPr>
        <w:tabs>
          <w:tab w:val="num" w:pos="900"/>
        </w:tabs>
        <w:ind w:left="720" w:hanging="360"/>
      </w:pPr>
      <w:rPr>
        <w:rFonts w:ascii="Times New Roman" w:eastAsia="Times New Roman" w:hAnsi="Times New Roman" w:cs="Times New Roman"/>
        <w:b w:val="0"/>
        <w:i w:val="0"/>
        <w:strike w:val="0"/>
        <w:sz w:val="20"/>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25">
    <w:nsid w:val="0000001A"/>
    <w:multiLevelType w:val="multilevel"/>
    <w:tmpl w:val="00000009"/>
    <w:lvl w:ilvl="0">
      <w:start w:val="1"/>
      <w:numFmt w:val="lowerLetter"/>
      <w:lvlText w:val="(%1)"/>
      <w:lvlJc w:val="left"/>
      <w:pPr>
        <w:tabs>
          <w:tab w:val="num" w:pos="900"/>
        </w:tabs>
        <w:ind w:left="720" w:hanging="360"/>
      </w:pPr>
      <w:rPr>
        <w:rFonts w:ascii="Times New Roman" w:eastAsia="Times New Roman" w:hAnsi="Times New Roman" w:cs="Times New Roman"/>
        <w:b w:val="0"/>
        <w:i w:val="0"/>
        <w:strike w:val="0"/>
        <w:sz w:val="20"/>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26">
    <w:nsid w:val="0000001B"/>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C"/>
    <w:multiLevelType w:val="multilevel"/>
    <w:tmpl w:val="00000009"/>
    <w:lvl w:ilvl="0">
      <w:start w:val="1"/>
      <w:numFmt w:val="lowerLetter"/>
      <w:lvlText w:val="(%1)"/>
      <w:lvlJc w:val="left"/>
      <w:pPr>
        <w:tabs>
          <w:tab w:val="num" w:pos="900"/>
        </w:tabs>
        <w:ind w:left="720" w:hanging="360"/>
      </w:pPr>
      <w:rPr>
        <w:rFonts w:ascii="Times New Roman" w:eastAsia="Times New Roman" w:hAnsi="Times New Roman" w:cs="Times New Roman"/>
        <w:b w:val="0"/>
        <w:i w:val="0"/>
        <w:strike w:val="0"/>
        <w:sz w:val="20"/>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28">
    <w:nsid w:val="0000001D"/>
    <w:multiLevelType w:val="multilevel"/>
    <w:tmpl w:val="00000009"/>
    <w:lvl w:ilvl="0">
      <w:start w:val="1"/>
      <w:numFmt w:val="lowerLetter"/>
      <w:lvlText w:val="(%1)"/>
      <w:lvlJc w:val="left"/>
      <w:pPr>
        <w:tabs>
          <w:tab w:val="num" w:pos="900"/>
        </w:tabs>
        <w:ind w:left="720" w:hanging="360"/>
      </w:pPr>
      <w:rPr>
        <w:rFonts w:ascii="Times New Roman" w:eastAsia="Times New Roman" w:hAnsi="Times New Roman" w:cs="Times New Roman"/>
        <w:b w:val="0"/>
        <w:i w:val="0"/>
        <w:strike w:val="0"/>
        <w:sz w:val="20"/>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29">
    <w:nsid w:val="0000001E"/>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F"/>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noLeading/>
    <w:suppressTopSpacingWP/>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header" Target="header6.xml" /><Relationship Id="rId17" Type="http://schemas.openxmlformats.org/officeDocument/2006/relationships/hyperlink" Target="https://www.sec.gov/Archives/edgar/data/884144/000088414425000078/ex21toformxequitypurchas.htm" TargetMode="External" /><Relationship Id="rId18" Type="http://schemas.openxmlformats.org/officeDocument/2006/relationships/hyperlink" Target="https://www.sec.gov/Archives/edgar/data/884144/000088414425000078/ex21toformxequitypurchas.htm" TargetMode="External" /><Relationship Id="rId19" Type="http://schemas.openxmlformats.org/officeDocument/2006/relationships/hyperlink" Target="https://www.sec.gov/Archives/edgar/data/884144/000118518517001105/ex3-1.htm" TargetMode="External" /><Relationship Id="rId2" Type="http://schemas.openxmlformats.org/officeDocument/2006/relationships/webSettings" Target="webSettings.xml" /><Relationship Id="rId20" Type="http://schemas.openxmlformats.org/officeDocument/2006/relationships/hyperlink" Target="https://www.sec.gov/Archives/edgar/data/884144/000118518517001105/ex3-1.htm" TargetMode="External" /><Relationship Id="rId21" Type="http://schemas.openxmlformats.org/officeDocument/2006/relationships/hyperlink" Target="https://www.sec.gov/Archives/edgar/data/884144/000118518520000789/ex_188849.htm" TargetMode="External" /><Relationship Id="rId22" Type="http://schemas.openxmlformats.org/officeDocument/2006/relationships/hyperlink" Target="https://www.sec.gov/Archives/edgar/data/884144/000118518520000789/ex_188849.htm" TargetMode="External" /><Relationship Id="rId23" Type="http://schemas.openxmlformats.org/officeDocument/2006/relationships/hyperlink" Target="https://www.sec.gov/Archives/edgar/data/884144/000118518518001964/ex_128911.htm" TargetMode="External" /><Relationship Id="rId24" Type="http://schemas.openxmlformats.org/officeDocument/2006/relationships/hyperlink" Target="https://www.sec.gov/Archives/edgar/data/884144/000118518518001964/ex_128911.htm" TargetMode="External" /><Relationship Id="rId25" Type="http://schemas.openxmlformats.org/officeDocument/2006/relationships/hyperlink" Target="https://www.sec.gov/Archives/edgar/data/884144/000118518520000424/ex_180240.htm" TargetMode="External" /><Relationship Id="rId26" Type="http://schemas.openxmlformats.org/officeDocument/2006/relationships/hyperlink" Target="https://www.sec.gov/Archives/edgar/data/884144/000118518520000424/ex_180240.htm" TargetMode="External" /><Relationship Id="rId27" Type="http://schemas.openxmlformats.org/officeDocument/2006/relationships/hyperlink" Target="https://www.sec.gov/Archives/edgar/data/884144/000088414424000022/a20231231exhibit35.htm" TargetMode="External" /><Relationship Id="rId28" Type="http://schemas.openxmlformats.org/officeDocument/2006/relationships/hyperlink" Target="https://www.sec.gov/Archives/edgar/data/884144/000088414424000022/a20231231exhibit35.htm" TargetMode="External" /><Relationship Id="rId29" Type="http://schemas.openxmlformats.org/officeDocument/2006/relationships/hyperlink" Target="https://www.sec.gov/Archives/edgar/data/884144/000118518512002765/ex4-1.htm" TargetMode="External" /><Relationship Id="rId3" Type="http://schemas.openxmlformats.org/officeDocument/2006/relationships/fontTable" Target="fontTable.xml" /><Relationship Id="rId30" Type="http://schemas.openxmlformats.org/officeDocument/2006/relationships/hyperlink" Target="https://www.sec.gov/Archives/edgar/data/884144/000118518512002765/ex4-1.htm" TargetMode="External" /><Relationship Id="rId31" Type="http://schemas.openxmlformats.org/officeDocument/2006/relationships/hyperlink" Target="https://www.sec.gov/Archives/edgar/data/884144/000088414425000054/exhibit41-fourthamendedand.htm" TargetMode="External" /><Relationship Id="rId32" Type="http://schemas.openxmlformats.org/officeDocument/2006/relationships/hyperlink" Target="https://www.sec.gov/Archives/edgar/data/884144/000088414425000054/exhibit41-fourthamendedand.htm" TargetMode="External" /><Relationship Id="rId33" Type="http://schemas.openxmlformats.org/officeDocument/2006/relationships/hyperlink" Target="wurl://docs.v1/doc:d5692121e1ec4716b49158302792258e" TargetMode="External" /><Relationship Id="rId34" Type="http://schemas.openxmlformats.org/officeDocument/2006/relationships/hyperlink" Target="wurl://docs.v1/doc:d5692121e1ec4716b49158302792258e" TargetMode="External" /><Relationship Id="rId35" Type="http://schemas.openxmlformats.org/officeDocument/2006/relationships/hyperlink" Target="https://www.sec.gov/Archives/edgar/data/884144/000088414409000004/asur200909288kaexhibit101.htm" TargetMode="External" /><Relationship Id="rId36" Type="http://schemas.openxmlformats.org/officeDocument/2006/relationships/hyperlink" Target="https://www.sec.gov/Archives/edgar/data/884144/000088414409000004/asur200909288kaexhibit101.htm" TargetMode="External" /><Relationship Id="rId37" Type="http://schemas.openxmlformats.org/officeDocument/2006/relationships/hyperlink" Target="https://www.sec.gov/Archives/edgar/data/884144/000118518512000624/ex10-25.htm" TargetMode="External" /><Relationship Id="rId38" Type="http://schemas.openxmlformats.org/officeDocument/2006/relationships/hyperlink" Target="https://www.sec.gov/Archives/edgar/data/884144/000118518512000624/ex10-25.htm" TargetMode="External" /><Relationship Id="rId39" Type="http://schemas.openxmlformats.org/officeDocument/2006/relationships/hyperlink" Target="https://www.sec.gov/Archives/edgar/data/884144/000118518520000527/asure20200424_def14a.htm" TargetMode="External" /><Relationship Id="rId4" Type="http://schemas.openxmlformats.org/officeDocument/2006/relationships/image" Target="media/image1.jpeg" /><Relationship Id="rId40" Type="http://schemas.openxmlformats.org/officeDocument/2006/relationships/hyperlink" Target="https://www.sec.gov/Archives/edgar/data/884144/000118518520000527/asure20200424_def14a.htm" TargetMode="External" /><Relationship Id="rId41" Type="http://schemas.openxmlformats.org/officeDocument/2006/relationships/hyperlink" Target="https://www.sec.gov/Archives/edgar/data/884144/000118518517002655/ex10-1.htm" TargetMode="External" /><Relationship Id="rId42" Type="http://schemas.openxmlformats.org/officeDocument/2006/relationships/hyperlink" Target="https://www.sec.gov/Archives/edgar/data/884144/000118518517002655/ex10-1.htm" TargetMode="External" /><Relationship Id="rId43" Type="http://schemas.openxmlformats.org/officeDocument/2006/relationships/hyperlink" Target="https://www.sec.gov/Archives/edgar/data/884144/000118518517002655/ex10-2.htm" TargetMode="External" /><Relationship Id="rId44" Type="http://schemas.openxmlformats.org/officeDocument/2006/relationships/hyperlink" Target="https://www.sec.gov/Archives/edgar/data/884144/000118518517002655/ex10-2.htm" TargetMode="External" /><Relationship Id="rId45" Type="http://schemas.openxmlformats.org/officeDocument/2006/relationships/hyperlink" Target="https://www.sec.gov/Archives/edgar/data/884144/000088414424000022/a20231231exhibit106.htm" TargetMode="External" /><Relationship Id="rId46" Type="http://schemas.openxmlformats.org/officeDocument/2006/relationships/hyperlink" Target="https://www.sec.gov/Archives/edgar/data/884144/000088414424000022/a20231231exhibit106.htm" TargetMode="External" /><Relationship Id="rId47" Type="http://schemas.openxmlformats.org/officeDocument/2006/relationships/hyperlink" Target="https://www.sec.gov/Archives/edgar/data/884144/000118518519000585/ex_141032.htm" TargetMode="External" /><Relationship Id="rId48" Type="http://schemas.openxmlformats.org/officeDocument/2006/relationships/hyperlink" Target="https://www.sec.gov/Archives/edgar/data/884144/000118518519000585/ex_141032.htm" TargetMode="External" /><Relationship Id="rId49" Type="http://schemas.openxmlformats.org/officeDocument/2006/relationships/hyperlink" Target="https://www.sec.gov/Archives/edgar/data/0000884144/000162828021004536/asur-20201231xex1032.htm" TargetMode="External" /><Relationship Id="rId5" Type="http://schemas.openxmlformats.org/officeDocument/2006/relationships/header" Target="header1.xml" /><Relationship Id="rId50" Type="http://schemas.openxmlformats.org/officeDocument/2006/relationships/hyperlink" Target="https://www.sec.gov/Archives/edgar/data/0000884144/000162828021004536/asur-20201231xex1032.htm" TargetMode="External" /><Relationship Id="rId51" Type="http://schemas.openxmlformats.org/officeDocument/2006/relationships/hyperlink" Target="https://www.sec.gov/Archives/edgar/data/884144/000088414422000004/a20211231exhibit1035.htm" TargetMode="External" /><Relationship Id="rId52" Type="http://schemas.openxmlformats.org/officeDocument/2006/relationships/hyperlink" Target="https://www.sec.gov/Archives/edgar/data/884144/000088414422000004/a20211231exhibit1035.htm" TargetMode="External" /><Relationship Id="rId53" Type="http://schemas.openxmlformats.org/officeDocument/2006/relationships/hyperlink" Target="https://www.sec.gov/Archives/edgar/data/884144/000088414424000022/a20231231exhibit1012.htm" TargetMode="External" /><Relationship Id="rId54" Type="http://schemas.openxmlformats.org/officeDocument/2006/relationships/hyperlink" Target="https://www.sec.gov/Archives/edgar/data/884144/000088414424000022/a20231231exhibit1012.htm" TargetMode="External" /><Relationship Id="rId55" Type="http://schemas.openxmlformats.org/officeDocument/2006/relationships/hyperlink" Target="https://www.sec.gov/Archives/edgar/data/884144/000110465924113048/tm2426838d2_ex1-1.htm" TargetMode="External" /><Relationship Id="rId56" Type="http://schemas.openxmlformats.org/officeDocument/2006/relationships/hyperlink" Target="https://www.sec.gov/Archives/edgar/data/884144/000110465924113048/tm2426838d2_ex1-1.htm" TargetMode="External" /><Relationship Id="rId57" Type="http://schemas.openxmlformats.org/officeDocument/2006/relationships/hyperlink" Target="https://www.sec.gov/Archives/edgar/data/884144/000088414425000064/a20250331exhibit101.htm" TargetMode="External" /><Relationship Id="rId58" Type="http://schemas.openxmlformats.org/officeDocument/2006/relationships/hyperlink" Target="https://www.sec.gov/Archives/edgar/data/884144/000088414425000064/a20250331exhibit101.htm" TargetMode="External" /><Relationship Id="rId59" Type="http://schemas.openxmlformats.org/officeDocument/2006/relationships/hyperlink" Target="wurl://docs.v1/doc:476bd98de6ff44bb974bc4875a18be16" TargetMode="External" /><Relationship Id="rId6" Type="http://schemas.openxmlformats.org/officeDocument/2006/relationships/footer" Target="footer1.xml" /><Relationship Id="rId60" Type="http://schemas.openxmlformats.org/officeDocument/2006/relationships/hyperlink" Target="wurl://docs.v1/doc:476bd98de6ff44bb974bc4875a18be16" TargetMode="External" /><Relationship Id="rId61" Type="http://schemas.openxmlformats.org/officeDocument/2006/relationships/hyperlink" Target="https://www.sec.gov/Archives/edgar/data/884144/000110465925033818/tm2512062d1_ex10-1.htm" TargetMode="External" /><Relationship Id="rId62" Type="http://schemas.openxmlformats.org/officeDocument/2006/relationships/hyperlink" Target="https://www.sec.gov/Archives/edgar/data/884144/000110465925033818/tm2512062d1_ex10-1.htm" TargetMode="External" /><Relationship Id="rId63" Type="http://schemas.openxmlformats.org/officeDocument/2006/relationships/hyperlink" Target="https://www.sec.gov/Archives/edgar/data/884144/000088414425000078/ex101toformxconsentamend.htm" TargetMode="External" /><Relationship Id="rId64" Type="http://schemas.openxmlformats.org/officeDocument/2006/relationships/hyperlink" Target="https://www.sec.gov/Archives/edgar/data/884144/000088414425000078/ex101toformxconsentamend.htm" TargetMode="External" /><Relationship Id="rId65" Type="http://schemas.openxmlformats.org/officeDocument/2006/relationships/hyperlink" Target="https://www.sec.gov/Archives/edgar/data/884144/000088414425000088/a20250630exhibit103.htm" TargetMode="External" /><Relationship Id="rId66" Type="http://schemas.openxmlformats.org/officeDocument/2006/relationships/hyperlink" Target="https://www.sec.gov/Archives/edgar/data/884144/000088414425000088/a20250630exhibit103.htm" TargetMode="External" /><Relationship Id="rId67" Type="http://schemas.openxmlformats.org/officeDocument/2006/relationships/hyperlink" Target="https://www.sec.gov/Archives/edgar/data/884144/000088414425000012/a20241231exhibit191.htm" TargetMode="External" /><Relationship Id="rId68" Type="http://schemas.openxmlformats.org/officeDocument/2006/relationships/hyperlink" Target="https://www.sec.gov/Archives/edgar/data/884144/000088414425000012/a20241231exhibit191.htm" TargetMode="External" /><Relationship Id="rId69" Type="http://schemas.openxmlformats.org/officeDocument/2006/relationships/hyperlink" Target="wurl://docs.v1/doc:bf30d31a15784935a0269cbf6735b8f0" TargetMode="External" /><Relationship Id="rId7" Type="http://schemas.openxmlformats.org/officeDocument/2006/relationships/header" Target="header2.xml" /><Relationship Id="rId70" Type="http://schemas.openxmlformats.org/officeDocument/2006/relationships/hyperlink" Target="wurl://docs.v1/doc:bf30d31a15784935a0269cbf6735b8f0" TargetMode="External" /><Relationship Id="rId71" Type="http://schemas.openxmlformats.org/officeDocument/2006/relationships/hyperlink" Target="wurl://docs.v1/doc:1f58ff9ae6644037a25e3cb620b9149c" TargetMode="External" /><Relationship Id="rId72" Type="http://schemas.openxmlformats.org/officeDocument/2006/relationships/hyperlink" Target="wurl://docs.v1/doc:1f58ff9ae6644037a25e3cb620b9149c" TargetMode="External" /><Relationship Id="rId73" Type="http://schemas.openxmlformats.org/officeDocument/2006/relationships/hyperlink" Target="wurl://docs.v1/doc:6f371270b8ff4d45a1bc5b1721e3063e" TargetMode="External" /><Relationship Id="rId74" Type="http://schemas.openxmlformats.org/officeDocument/2006/relationships/hyperlink" Target="wurl://docs.v1/doc:6f371270b8ff4d45a1bc5b1721e3063e" TargetMode="External" /><Relationship Id="rId75" Type="http://schemas.openxmlformats.org/officeDocument/2006/relationships/hyperlink" Target="wurl://docs.v1/doc:c245b81f0f694de69fe169110a32df28" TargetMode="External" /><Relationship Id="rId76" Type="http://schemas.openxmlformats.org/officeDocument/2006/relationships/hyperlink" Target="wurl://docs.v1/doc:c245b81f0f694de69fe169110a32df28" TargetMode="External" /><Relationship Id="rId77" Type="http://schemas.openxmlformats.org/officeDocument/2006/relationships/hyperlink" Target="wurl://docs.v1/doc:150fd9aeb01547bd9097db0580ed6647" TargetMode="External" /><Relationship Id="rId78" Type="http://schemas.openxmlformats.org/officeDocument/2006/relationships/hyperlink" Target="wurl://docs.v1/doc:150fd9aeb01547bd9097db0580ed6647" TargetMode="External" /><Relationship Id="rId79" Type="http://schemas.openxmlformats.org/officeDocument/2006/relationships/hyperlink" Target="wurl://docs.v1/doc:c69dace427c749e2b123564ab94cceb5" TargetMode="External" /><Relationship Id="rId8" Type="http://schemas.openxmlformats.org/officeDocument/2006/relationships/footer" Target="footer2.xml" /><Relationship Id="rId80" Type="http://schemas.openxmlformats.org/officeDocument/2006/relationships/hyperlink" Target="wurl://docs.v1/doc:c69dace427c749e2b123564ab94cceb5" TargetMode="External" /><Relationship Id="rId81" Type="http://schemas.openxmlformats.org/officeDocument/2006/relationships/hyperlink" Target="wurl://docs.v1/doc:ebeb66b70a66407a8df79d26af468588" TargetMode="External" /><Relationship Id="rId82" Type="http://schemas.openxmlformats.org/officeDocument/2006/relationships/hyperlink" Target="wurl://docs.v1/doc:ebeb66b70a66407a8df79d26af468588" TargetMode="External" /><Relationship Id="rId83" Type="http://schemas.openxmlformats.org/officeDocument/2006/relationships/hyperlink" Target="https://www.sec.gov/Archives/edgar/data/884144/000088414424000022/a20231231exhibit971.htm" TargetMode="External" /><Relationship Id="rId84" Type="http://schemas.openxmlformats.org/officeDocument/2006/relationships/hyperlink" Target="https://www.sec.gov/Archives/edgar/data/884144/000088414424000022/a20231231exhibit971.htm" TargetMode="External" /><Relationship Id="rId85" Type="http://schemas.openxmlformats.org/officeDocument/2006/relationships/header" Target="header7.xml" /><Relationship Id="rId86" Type="http://schemas.openxmlformats.org/officeDocument/2006/relationships/footer" Target="footer7.xml" /><Relationship Id="rId87" Type="http://schemas.openxmlformats.org/officeDocument/2006/relationships/header" Target="header8.xml" /><Relationship Id="rId88" Type="http://schemas.openxmlformats.org/officeDocument/2006/relationships/header" Target="header9.xml" /><Relationship Id="rId89" Type="http://schemas.openxmlformats.org/officeDocument/2006/relationships/header" Target="header10.xml" /><Relationship Id="rId9" Type="http://schemas.openxmlformats.org/officeDocument/2006/relationships/header" Target="header3.xml" /><Relationship Id="rId90" Type="http://schemas.openxmlformats.org/officeDocument/2006/relationships/header" Target="header11.xml" /><Relationship Id="rId91" Type="http://schemas.openxmlformats.org/officeDocument/2006/relationships/header" Target="header12.xml" /><Relationship Id="rId92" Type="http://schemas.openxmlformats.org/officeDocument/2006/relationships/theme" Target="theme/theme1.xml" /><Relationship Id="rId93" Type="http://schemas.openxmlformats.org/officeDocument/2006/relationships/numbering" Target="numbering.xml" /><Relationship Id="rId94"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81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2025.12.31 ASUR 10K - FOR WEBSITE</dc:title>
  <cp:revision>1</cp:revision>
</cp:coreProperties>
</file>