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227965</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228600</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3740" w:right="1880" w:hanging="3617"/>
        <w:spacing w:after="0" w:line="564" w:lineRule="auto"/>
        <w:tabs>
          <w:tab w:leader="none" w:pos="38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2013</w:t>
      </w:r>
    </w:p>
    <w:p>
      <w:pPr>
        <w:spacing w:after="0" w:line="378" w:lineRule="exact"/>
        <w:rPr>
          <w:sz w:val="24"/>
          <w:szCs w:val="24"/>
          <w:color w:val="auto"/>
        </w:rPr>
      </w:pPr>
    </w:p>
    <w:p>
      <w:pPr>
        <w:ind w:left="120"/>
        <w:spacing w:after="0"/>
        <w:tabs>
          <w:tab w:leader="none" w:pos="3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37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b w:val="1"/>
                <w:bCs w:val="1"/>
                <w:color w:val="auto"/>
                <w:w w:val="96"/>
              </w:rPr>
              <w:t>For the transition period from</w:t>
            </w: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r>
      <w:tr>
        <w:trPr>
          <w:trHeight w:val="439"/>
        </w:trPr>
        <w:tc>
          <w:tcPr>
            <w:tcW w:w="3300" w:type="dxa"/>
            <w:vAlign w:val="bottom"/>
            <w:gridSpan w:val="4"/>
          </w:tcPr>
          <w:p>
            <w:pPr>
              <w:ind w:left="700"/>
              <w:spacing w:after="0"/>
              <w:rPr>
                <w:sz w:val="20"/>
                <w:szCs w:val="20"/>
                <w:color w:val="auto"/>
              </w:rPr>
            </w:pPr>
            <w:r>
              <w:rPr>
                <w:rFonts w:ascii="Arial" w:cs="Arial" w:eastAsia="Arial" w:hAnsi="Arial"/>
                <w:sz w:val="18"/>
                <w:szCs w:val="18"/>
                <w:b w:val="1"/>
                <w:bCs w:val="1"/>
                <w:color w:val="auto"/>
                <w:w w:val="89"/>
              </w:rPr>
              <w:t>Commission file number: 0-20008</w:t>
            </w: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4500245</wp:posOffset>
            </wp:positionH>
            <wp:positionV relativeFrom="paragraph">
              <wp:posOffset>-299720</wp:posOffset>
            </wp:positionV>
            <wp:extent cx="400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166" w:lineRule="exact"/>
        <w:rPr>
          <w:sz w:val="24"/>
          <w:szCs w:val="24"/>
          <w:color w:val="auto"/>
        </w:rPr>
      </w:pPr>
    </w:p>
    <w:tbl>
      <w:tblPr>
        <w:tblLayout w:type="fixed"/>
        <w:tblInd w:w="980" w:type="dxa"/>
        <w:tblCellMar>
          <w:top w:w="0" w:type="dxa"/>
          <w:left w:w="0" w:type="dxa"/>
          <w:bottom w:w="0" w:type="dxa"/>
          <w:right w:w="0" w:type="dxa"/>
        </w:tblCellMar>
      </w:tblPr>
      <w:tr>
        <w:trPr>
          <w:trHeight w:val="375"/>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32"/>
                <w:szCs w:val="32"/>
                <w:b w:val="1"/>
                <w:bCs w:val="1"/>
                <w:color w:val="auto"/>
                <w:w w:val="99"/>
              </w:rPr>
              <w:t>ASURE SOFTWARE, INC.</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20" w:type="dxa"/>
            <w:vAlign w:val="bottom"/>
            <w:gridSpan w:val="5"/>
          </w:tcPr>
          <w:p>
            <w:pPr>
              <w:jc w:val="center"/>
              <w:ind w:left="390"/>
              <w:spacing w:after="0"/>
              <w:rPr>
                <w:sz w:val="20"/>
                <w:szCs w:val="20"/>
                <w:color w:val="auto"/>
              </w:rPr>
            </w:pPr>
            <w:r>
              <w:rPr>
                <w:rFonts w:ascii="Arial" w:cs="Arial" w:eastAsia="Arial" w:hAnsi="Arial"/>
                <w:sz w:val="18"/>
                <w:szCs w:val="18"/>
                <w:color w:val="auto"/>
                <w:w w:val="91"/>
              </w:rPr>
              <w:t>(Exact Name of Registrant as Specified in its Charter)</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392"/>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00" w:type="dxa"/>
            <w:vAlign w:val="bottom"/>
            <w:gridSpan w:val="7"/>
          </w:tcPr>
          <w:p>
            <w:pPr>
              <w:jc w:val="center"/>
              <w:ind w:right="5180"/>
              <w:spacing w:after="0"/>
              <w:rPr>
                <w:sz w:val="20"/>
                <w:szCs w:val="20"/>
                <w:color w:val="auto"/>
              </w:rPr>
            </w:pPr>
            <w:r>
              <w:rPr>
                <w:rFonts w:ascii="Arial" w:cs="Arial" w:eastAsia="Arial" w:hAnsi="Arial"/>
                <w:sz w:val="18"/>
                <w:szCs w:val="18"/>
                <w:b w:val="1"/>
                <w:bCs w:val="1"/>
                <w:color w:val="auto"/>
                <w:w w:val="91"/>
              </w:rPr>
              <w:t>Delaware</w:t>
            </w:r>
          </w:p>
        </w:tc>
        <w:tc>
          <w:tcPr>
            <w:tcW w:w="160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rPr>
              <w:t>74-2415696</w:t>
            </w: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7000" w:type="dxa"/>
            <w:vAlign w:val="bottom"/>
            <w:gridSpan w:val="9"/>
          </w:tcPr>
          <w:p>
            <w:pPr>
              <w:jc w:val="center"/>
              <w:ind w:right="4080"/>
              <w:spacing w:after="0"/>
              <w:rPr>
                <w:sz w:val="20"/>
                <w:szCs w:val="20"/>
                <w:color w:val="auto"/>
              </w:rPr>
            </w:pPr>
            <w:r>
              <w:rPr>
                <w:rFonts w:ascii="Arial" w:cs="Arial" w:eastAsia="Arial" w:hAnsi="Arial"/>
                <w:sz w:val="18"/>
                <w:szCs w:val="18"/>
                <w:color w:val="auto"/>
                <w:w w:val="92"/>
              </w:rPr>
              <w:t>(State of other jurisdiction of</w:t>
            </w:r>
          </w:p>
        </w:tc>
        <w:tc>
          <w:tcPr>
            <w:tcW w:w="1600" w:type="dxa"/>
            <w:vAlign w:val="bottom"/>
            <w:gridSpan w:val="5"/>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7000" w:type="dxa"/>
            <w:vAlign w:val="bottom"/>
            <w:gridSpan w:val="9"/>
          </w:tcPr>
          <w:p>
            <w:pPr>
              <w:jc w:val="center"/>
              <w:ind w:right="4080"/>
              <w:spacing w:after="0"/>
              <w:rPr>
                <w:sz w:val="20"/>
                <w:szCs w:val="20"/>
                <w:color w:val="auto"/>
              </w:rPr>
            </w:pPr>
            <w:r>
              <w:rPr>
                <w:rFonts w:ascii="Arial" w:cs="Arial" w:eastAsia="Arial" w:hAnsi="Arial"/>
                <w:sz w:val="18"/>
                <w:szCs w:val="18"/>
                <w:color w:val="auto"/>
                <w:w w:val="92"/>
              </w:rPr>
              <w:t>incorporation or organization)</w:t>
            </w:r>
          </w:p>
        </w:tc>
        <w:tc>
          <w:tcPr>
            <w:tcW w:w="1600" w:type="dxa"/>
            <w:vAlign w:val="bottom"/>
            <w:gridSpan w:val="5"/>
          </w:tcPr>
          <w:p>
            <w:pPr>
              <w:jc w:val="center"/>
              <w:ind w:left="190"/>
              <w:spacing w:after="0"/>
              <w:rPr>
                <w:sz w:val="20"/>
                <w:szCs w:val="20"/>
                <w:color w:val="auto"/>
              </w:rPr>
            </w:pPr>
            <w:r>
              <w:rPr>
                <w:rFonts w:ascii="Arial" w:cs="Arial" w:eastAsia="Arial" w:hAnsi="Arial"/>
                <w:sz w:val="18"/>
                <w:szCs w:val="18"/>
                <w:color w:val="auto"/>
                <w:w w:val="94"/>
              </w:rPr>
              <w:t>Identification No.)</w:t>
            </w:r>
          </w:p>
        </w:tc>
      </w:tr>
      <w:tr>
        <w:trPr>
          <w:trHeight w:val="414"/>
        </w:trPr>
        <w:tc>
          <w:tcPr>
            <w:tcW w:w="7000" w:type="dxa"/>
            <w:vAlign w:val="bottom"/>
            <w:gridSpan w:val="9"/>
          </w:tcPr>
          <w:p>
            <w:pPr>
              <w:jc w:val="center"/>
              <w:ind w:right="4080"/>
              <w:spacing w:after="0"/>
              <w:rPr>
                <w:sz w:val="20"/>
                <w:szCs w:val="20"/>
                <w:color w:val="auto"/>
              </w:rPr>
            </w:pPr>
            <w:r>
              <w:rPr>
                <w:rFonts w:ascii="Arial" w:cs="Arial" w:eastAsia="Arial" w:hAnsi="Arial"/>
                <w:sz w:val="18"/>
                <w:szCs w:val="18"/>
                <w:b w:val="1"/>
                <w:bCs w:val="1"/>
                <w:color w:val="auto"/>
                <w:w w:val="90"/>
              </w:rPr>
              <w:t>110 Wild Basin Road, Suite 100</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6060" w:type="dxa"/>
            <w:vAlign w:val="bottom"/>
            <w:gridSpan w:val="8"/>
          </w:tcPr>
          <w:p>
            <w:pPr>
              <w:jc w:val="center"/>
              <w:ind w:right="5020"/>
              <w:spacing w:after="0" w:line="194" w:lineRule="exact"/>
              <w:rPr>
                <w:sz w:val="20"/>
                <w:szCs w:val="20"/>
                <w:color w:val="auto"/>
              </w:rPr>
            </w:pPr>
            <w:r>
              <w:rPr>
                <w:rFonts w:ascii="Arial" w:cs="Arial" w:eastAsia="Arial" w:hAnsi="Arial"/>
                <w:sz w:val="18"/>
                <w:szCs w:val="18"/>
                <w:b w:val="1"/>
                <w:bCs w:val="1"/>
                <w:color w:val="auto"/>
                <w:w w:val="88"/>
              </w:rPr>
              <w:t>Austin, Texas</w:t>
            </w:r>
          </w:p>
        </w:tc>
        <w:tc>
          <w:tcPr>
            <w:tcW w:w="138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78746</w:t>
            </w:r>
          </w:p>
        </w:tc>
        <w:tc>
          <w:tcPr>
            <w:tcW w:w="22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37"/>
        </w:trPr>
        <w:tc>
          <w:tcPr>
            <w:tcW w:w="7000" w:type="dxa"/>
            <w:vAlign w:val="bottom"/>
            <w:gridSpan w:val="9"/>
          </w:tcPr>
          <w:p>
            <w:pPr>
              <w:jc w:val="center"/>
              <w:ind w:right="4060"/>
              <w:spacing w:after="0"/>
              <w:rPr>
                <w:sz w:val="20"/>
                <w:szCs w:val="20"/>
                <w:color w:val="auto"/>
              </w:rPr>
            </w:pPr>
            <w:r>
              <w:rPr>
                <w:rFonts w:ascii="Arial" w:cs="Arial" w:eastAsia="Arial" w:hAnsi="Arial"/>
                <w:sz w:val="18"/>
                <w:szCs w:val="18"/>
                <w:color w:val="auto"/>
                <w:w w:val="92"/>
              </w:rPr>
              <w:t>(Address of Principal Executive Offices)</w:t>
            </w:r>
          </w:p>
        </w:tc>
        <w:tc>
          <w:tcPr>
            <w:tcW w:w="500" w:type="dxa"/>
            <w:vAlign w:val="bottom"/>
          </w:tcPr>
          <w:p>
            <w:pPr>
              <w:spacing w:after="0"/>
              <w:rPr>
                <w:sz w:val="20"/>
                <w:szCs w:val="20"/>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8"/>
                <w:szCs w:val="18"/>
                <w:color w:val="auto"/>
                <w:w w:val="94"/>
              </w:rPr>
              <w:t>(Zip Code)</w:t>
            </w:r>
          </w:p>
        </w:tc>
      </w:tr>
      <w:tr>
        <w:trPr>
          <w:trHeight w:val="392"/>
        </w:trPr>
        <w:tc>
          <w:tcPr>
            <w:tcW w:w="5300" w:type="dxa"/>
            <w:vAlign w:val="bottom"/>
            <w:gridSpan w:val="7"/>
          </w:tcPr>
          <w:p>
            <w:pPr>
              <w:jc w:val="center"/>
              <w:ind w:left="4090"/>
              <w:spacing w:after="0"/>
              <w:rPr>
                <w:sz w:val="20"/>
                <w:szCs w:val="20"/>
                <w:color w:val="auto"/>
              </w:rPr>
            </w:pPr>
            <w:r>
              <w:rPr>
                <w:rFonts w:ascii="Arial" w:cs="Arial" w:eastAsia="Arial" w:hAnsi="Arial"/>
                <w:sz w:val="18"/>
                <w:szCs w:val="18"/>
                <w:b w:val="1"/>
                <w:bCs w:val="1"/>
                <w:color w:val="auto"/>
                <w:w w:val="90"/>
              </w:rPr>
              <w:t>(512) 437-2700</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20" w:type="dxa"/>
            <w:vAlign w:val="bottom"/>
            <w:gridSpan w:val="5"/>
          </w:tcPr>
          <w:p>
            <w:pPr>
              <w:jc w:val="center"/>
              <w:ind w:left="390"/>
              <w:spacing w:after="0"/>
              <w:rPr>
                <w:sz w:val="20"/>
                <w:szCs w:val="20"/>
                <w:color w:val="auto"/>
              </w:rPr>
            </w:pPr>
            <w:r>
              <w:rPr>
                <w:rFonts w:ascii="Arial" w:cs="Arial" w:eastAsia="Arial" w:hAnsi="Arial"/>
                <w:sz w:val="18"/>
                <w:szCs w:val="18"/>
                <w:color w:val="auto"/>
                <w:w w:val="90"/>
              </w:rPr>
              <w:t>(Registrant’s Telephone Number, including Area Code)</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297" w:right="239" w:bottom="1440" w:gutter="0" w:footer="0" w:header="0"/>
        </w:sectPr>
      </w:pPr>
    </w:p>
    <w:p>
      <w:pPr>
        <w:spacing w:after="0" w:line="197" w:lineRule="exact"/>
        <w:rPr>
          <w:sz w:val="24"/>
          <w:szCs w:val="24"/>
          <w:color w:val="auto"/>
        </w:rPr>
      </w:pPr>
    </w:p>
    <w:p>
      <w:pPr>
        <w:ind w:left="2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4">
            <w:col w:w="2380" w:space="720"/>
            <w:col w:w="1660" w:space="720"/>
            <w:col w:w="2140" w:space="720"/>
            <w:col w:w="3080"/>
          </w:cols>
          <w:pgMar w:left="240" w:top="297"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3">
            <w:col w:w="8180" w:space="180"/>
            <w:col w:w="440" w:space="220"/>
            <w:col w:w="2400"/>
          </w:cols>
          <w:pgMar w:left="240" w:top="297"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11, 2013, the registrant had outstanding 5,932,644 shares of its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3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426"/>
        </w:trPr>
        <w:tc>
          <w:tcPr>
            <w:tcW w:w="8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0" w:type="dxa"/>
            <w:vAlign w:val="bottom"/>
            <w:gridSpan w:val="9"/>
          </w:tcPr>
          <w:p>
            <w:pPr>
              <w:jc w:val="center"/>
              <w:ind w:right="2920"/>
              <w:spacing w:after="0"/>
              <w:rPr>
                <w:sz w:val="20"/>
                <w:szCs w:val="20"/>
                <w:color w:val="auto"/>
              </w:rPr>
            </w:pPr>
            <w:r>
              <w:rPr>
                <w:rFonts w:ascii="Arial" w:cs="Arial" w:eastAsia="Arial" w:hAnsi="Arial"/>
                <w:sz w:val="18"/>
                <w:szCs w:val="18"/>
                <w:b w:val="1"/>
                <w:bCs w:val="1"/>
                <w:color w:val="auto"/>
                <w:w w:val="98"/>
              </w:rPr>
              <w:t>TABLE OF CONTENTS</w:t>
            </w:r>
          </w:p>
        </w:tc>
        <w:tc>
          <w:tcPr>
            <w:tcW w:w="940" w:type="dxa"/>
            <w:vAlign w:val="bottom"/>
          </w:tcPr>
          <w:p>
            <w:pPr>
              <w:spacing w:after="0"/>
              <w:rPr>
                <w:sz w:val="24"/>
                <w:szCs w:val="24"/>
                <w:color w:val="auto"/>
              </w:rPr>
            </w:pPr>
          </w:p>
        </w:tc>
      </w:tr>
      <w:tr>
        <w:trPr>
          <w:trHeight w:val="414"/>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Page</w:t>
            </w:r>
          </w:p>
        </w:tc>
      </w:tr>
      <w:tr>
        <w:trPr>
          <w:trHeight w:val="241"/>
        </w:trPr>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Number</w:t>
            </w:r>
          </w:p>
        </w:tc>
      </w:t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0" w:type="dxa"/>
            <w:vAlign w:val="bottom"/>
            <w:gridSpan w:val="9"/>
          </w:tcPr>
          <w:p>
            <w:pPr>
              <w:ind w:left="180"/>
              <w:spacing w:after="0"/>
              <w:rPr>
                <w:sz w:val="20"/>
                <w:szCs w:val="20"/>
                <w:color w:val="auto"/>
              </w:rPr>
            </w:pPr>
            <w:r>
              <w:rPr>
                <w:rFonts w:ascii="Arial" w:cs="Arial" w:eastAsia="Arial" w:hAnsi="Arial"/>
                <w:sz w:val="18"/>
                <w:szCs w:val="18"/>
                <w:b w:val="1"/>
                <w:bCs w:val="1"/>
                <w:color w:val="auto"/>
              </w:rPr>
              <w:t>PART I - FINANCIAL INFORMATION</w:t>
            </w:r>
          </w:p>
        </w:tc>
        <w:tc>
          <w:tcPr>
            <w:tcW w:w="940" w:type="dxa"/>
            <w:vAlign w:val="bottom"/>
          </w:tcPr>
          <w:p>
            <w:pPr>
              <w:spacing w:after="0"/>
              <w:rPr>
                <w:sz w:val="18"/>
                <w:szCs w:val="18"/>
                <w:color w:val="auto"/>
              </w:rPr>
            </w:pPr>
          </w:p>
        </w:tc>
      </w:tr>
      <w:tr>
        <w:trPr>
          <w:trHeight w:val="392"/>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918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94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5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2013 and December 31, 2012</w:t>
              </w:r>
            </w:hyperlink>
          </w:p>
        </w:tc>
        <w:tc>
          <w:tcPr>
            <w:tcW w:w="2280" w:type="dxa"/>
            <w:vAlign w:val="bottom"/>
            <w:gridSpan w:val="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(Loss) for the Three and Nine Months ended September</w:t>
              </w:r>
            </w:hyperlink>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30, 2013 and 2012</w:t>
              </w:r>
            </w:hyperlink>
          </w:p>
        </w:tc>
        <w:tc>
          <w:tcPr>
            <w:tcW w:w="7520" w:type="dxa"/>
            <w:vAlign w:val="bottom"/>
            <w:gridSpan w:val="12"/>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Cash Flows for the Nine Months Ended September 30, 2013 and 2012</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the Condensed Consolidated Financial Statements</w:t>
              </w:r>
            </w:hyperlink>
          </w:p>
        </w:tc>
        <w:tc>
          <w:tcPr>
            <w:tcW w:w="3660" w:type="dxa"/>
            <w:vAlign w:val="bottom"/>
            <w:tcBorders>
              <w:top w:val="single" w:sz="8" w:color="0000EE"/>
            </w:tcBorders>
            <w:gridSpan w:val="4"/>
          </w:tcPr>
          <w:p>
            <w:pPr>
              <w:spacing w:after="0"/>
              <w:rPr>
                <w:sz w:val="17"/>
                <w:szCs w:val="17"/>
                <w:color w:val="auto"/>
              </w:rPr>
            </w:pPr>
          </w:p>
        </w:tc>
        <w:tc>
          <w:tcPr>
            <w:tcW w:w="940" w:type="dxa"/>
            <w:vAlign w:val="bottom"/>
            <w:gridSpan w:val="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Item 2.</w:t>
            </w:r>
          </w:p>
        </w:tc>
        <w:tc>
          <w:tcPr>
            <w:tcW w:w="9180" w:type="dxa"/>
            <w:vAlign w:val="bottom"/>
            <w:gridSpan w:val="18"/>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Management’s Discussion and Analysis of Financial Condition and Results of Operations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Item 3.</w:t>
            </w:r>
          </w:p>
        </w:tc>
        <w:tc>
          <w:tcPr>
            <w:tcW w:w="46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b w:val="1"/>
                <w:bCs w:val="1"/>
                <w:color w:val="0000EE"/>
                <w:w w:val="91"/>
              </w:rPr>
            </w:pPr>
            <w:hyperlink w:anchor="page25">
              <w:r>
                <w:rPr>
                  <w:rFonts w:ascii="Arial" w:cs="Arial" w:eastAsia="Arial" w:hAnsi="Arial"/>
                  <w:sz w:val="18"/>
                  <w:szCs w:val="18"/>
                  <w:b w:val="1"/>
                  <w:bCs w:val="1"/>
                  <w:color w:val="0000EE"/>
                  <w:w w:val="91"/>
                </w:rPr>
                <w:t>Quantitative and Qualitative Disclosures About Market Risk</w:t>
              </w:r>
            </w:hyperlink>
          </w:p>
        </w:tc>
        <w:tc>
          <w:tcPr>
            <w:tcW w:w="2160" w:type="dxa"/>
            <w:vAlign w:val="bottom"/>
            <w:tcBorders>
              <w:top w:val="single" w:sz="8" w:color="0000EE"/>
            </w:tcBorders>
          </w:tcPr>
          <w:p>
            <w:pPr>
              <w:spacing w:after="0"/>
              <w:rPr>
                <w:sz w:val="17"/>
                <w:szCs w:val="17"/>
                <w:color w:val="auto"/>
              </w:rPr>
            </w:pPr>
          </w:p>
        </w:tc>
        <w:tc>
          <w:tcPr>
            <w:tcW w:w="2360" w:type="dxa"/>
            <w:vAlign w:val="bottom"/>
            <w:gridSpan w:val="4"/>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Item 4.</w:t>
            </w:r>
          </w:p>
        </w:tc>
        <w:tc>
          <w:tcPr>
            <w:tcW w:w="9180" w:type="dxa"/>
            <w:vAlign w:val="bottom"/>
            <w:gridSpan w:val="18"/>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Controls and Procedures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453"/>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0" w:type="dxa"/>
            <w:vAlign w:val="bottom"/>
            <w:gridSpan w:val="9"/>
          </w:tcPr>
          <w:p>
            <w:pPr>
              <w:jc w:val="center"/>
              <w:ind w:right="2940"/>
              <w:spacing w:after="0"/>
              <w:rPr>
                <w:sz w:val="20"/>
                <w:szCs w:val="20"/>
                <w:color w:val="auto"/>
              </w:rPr>
            </w:pPr>
            <w:r>
              <w:rPr>
                <w:rFonts w:ascii="Arial" w:cs="Arial" w:eastAsia="Arial" w:hAnsi="Arial"/>
                <w:sz w:val="18"/>
                <w:szCs w:val="18"/>
                <w:b w:val="1"/>
                <w:bCs w:val="1"/>
                <w:color w:val="auto"/>
              </w:rPr>
              <w:t>PART II - OTHER INFORMATION</w:t>
            </w:r>
          </w:p>
        </w:tc>
        <w:tc>
          <w:tcPr>
            <w:tcW w:w="940" w:type="dxa"/>
            <w:vAlign w:val="bottom"/>
          </w:tcPr>
          <w:p>
            <w:pPr>
              <w:spacing w:after="0"/>
              <w:rPr>
                <w:sz w:val="24"/>
                <w:szCs w:val="24"/>
                <w:color w:val="auto"/>
              </w:rPr>
            </w:pPr>
          </w:p>
        </w:tc>
      </w:tr>
      <w:tr>
        <w:trPr>
          <w:trHeight w:val="392"/>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tcBorders>
              <w:bottom w:val="single" w:sz="8" w:color="0000EE"/>
            </w:tcBorders>
            <w:gridSpan w:val="4"/>
          </w:tcPr>
          <w:p>
            <w:pPr>
              <w:spacing w:after="0"/>
              <w:rPr>
                <w:rFonts w:ascii="Arial" w:cs="Arial" w:eastAsia="Arial" w:hAnsi="Arial"/>
                <w:sz w:val="18"/>
                <w:szCs w:val="18"/>
                <w:b w:val="1"/>
                <w:bCs w:val="1"/>
                <w:color w:val="0000EE"/>
                <w:w w:val="86"/>
              </w:rPr>
            </w:pPr>
            <w:hyperlink w:anchor="page26">
              <w:r>
                <w:rPr>
                  <w:rFonts w:ascii="Arial" w:cs="Arial" w:eastAsia="Arial" w:hAnsi="Arial"/>
                  <w:sz w:val="18"/>
                  <w:szCs w:val="18"/>
                  <w:b w:val="1"/>
                  <w:bCs w:val="1"/>
                  <w:color w:val="0000EE"/>
                  <w:w w:val="86"/>
                </w:rPr>
                <w:t>Legal Proceedings</w:t>
              </w:r>
            </w:hyperlink>
          </w:p>
        </w:tc>
        <w:tc>
          <w:tcPr>
            <w:tcW w:w="7780" w:type="dxa"/>
            <w:vAlign w:val="bottom"/>
            <w:gridSpan w:val="1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Item 1A.</w:t>
            </w:r>
          </w:p>
        </w:tc>
        <w:tc>
          <w:tcPr>
            <w:tcW w:w="9180" w:type="dxa"/>
            <w:vAlign w:val="bottom"/>
            <w:gridSpan w:val="18"/>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Risk Factors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Item 2.</w:t>
            </w:r>
          </w:p>
        </w:tc>
        <w:tc>
          <w:tcPr>
            <w:tcW w:w="9180" w:type="dxa"/>
            <w:vAlign w:val="bottom"/>
            <w:gridSpan w:val="18"/>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Unregistered Sales of Equity Securities and Use of Proceeds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Item 3.</w:t>
            </w:r>
          </w:p>
        </w:tc>
        <w:tc>
          <w:tcPr>
            <w:tcW w:w="456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Defaults upon Senior Securities</w:t>
              </w:r>
            </w:hyperlink>
          </w:p>
        </w:tc>
        <w:tc>
          <w:tcPr>
            <w:tcW w:w="4620" w:type="dxa"/>
            <w:vAlign w:val="bottom"/>
            <w:gridSpan w:val="7"/>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Item 4.</w:t>
            </w:r>
          </w:p>
        </w:tc>
        <w:tc>
          <w:tcPr>
            <w:tcW w:w="398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89"/>
              </w:rPr>
            </w:pPr>
            <w:hyperlink w:anchor="page26">
              <w:r>
                <w:rPr>
                  <w:rFonts w:ascii="Arial" w:cs="Arial" w:eastAsia="Arial" w:hAnsi="Arial"/>
                  <w:sz w:val="18"/>
                  <w:szCs w:val="18"/>
                  <w:b w:val="1"/>
                  <w:bCs w:val="1"/>
                  <w:color w:val="0000EE"/>
                  <w:w w:val="89"/>
                </w:rPr>
                <w:t>Submission of Matters to a Vote of Security Holders</w:t>
              </w:r>
            </w:hyperlink>
          </w:p>
        </w:tc>
        <w:tc>
          <w:tcPr>
            <w:tcW w:w="5200" w:type="dxa"/>
            <w:vAlign w:val="bottom"/>
            <w:gridSpan w:val="8"/>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Item 5.</w:t>
            </w:r>
          </w:p>
        </w:tc>
        <w:tc>
          <w:tcPr>
            <w:tcW w:w="144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3"/>
              </w:rPr>
            </w:pPr>
            <w:hyperlink w:anchor="page26">
              <w:r>
                <w:rPr>
                  <w:rFonts w:ascii="Arial" w:cs="Arial" w:eastAsia="Arial" w:hAnsi="Arial"/>
                  <w:sz w:val="18"/>
                  <w:szCs w:val="18"/>
                  <w:b w:val="1"/>
                  <w:bCs w:val="1"/>
                  <w:color w:val="0000EE"/>
                  <w:w w:val="93"/>
                </w:rPr>
                <w:t>Other Information</w:t>
              </w:r>
            </w:hyperlink>
          </w:p>
        </w:tc>
        <w:tc>
          <w:tcPr>
            <w:tcW w:w="7740" w:type="dxa"/>
            <w:vAlign w:val="bottom"/>
            <w:gridSpan w:val="1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Item 6.</w:t>
            </w:r>
          </w:p>
        </w:tc>
        <w:tc>
          <w:tcPr>
            <w:tcW w:w="9180" w:type="dxa"/>
            <w:vAlign w:val="bottom"/>
            <w:gridSpan w:val="18"/>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Exhibits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412"/>
        </w:trPr>
        <w:tc>
          <w:tcPr>
            <w:tcW w:w="1300" w:type="dxa"/>
            <w:vAlign w:val="bottom"/>
            <w:gridSpan w:val="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652"/>
        </w:trPr>
        <w:tc>
          <w:tcPr>
            <w:tcW w:w="820" w:type="dxa"/>
            <w:vAlign w:val="bottom"/>
            <w:tcBorders>
              <w:top w:val="single" w:sz="8" w:color="0000EE"/>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1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7080" w:type="dxa"/>
            <w:vAlign w:val="bottom"/>
          </w:tcPr>
          <w:p>
            <w:pPr>
              <w:jc w:val="center"/>
              <w:ind w:left="2230"/>
              <w:spacing w:after="0"/>
              <w:rPr>
                <w:sz w:val="20"/>
                <w:szCs w:val="20"/>
                <w:color w:val="auto"/>
              </w:rPr>
            </w:pPr>
            <w:r>
              <w:rPr>
                <w:rFonts w:ascii="Arial" w:cs="Arial" w:eastAsia="Arial" w:hAnsi="Arial"/>
                <w:sz w:val="18"/>
                <w:szCs w:val="18"/>
                <w:b w:val="1"/>
                <w:bCs w:val="1"/>
                <w:color w:val="auto"/>
              </w:rPr>
              <w:t>PART I – FINANCIAL INFORMATION</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b w:val="1"/>
                <w:bCs w:val="1"/>
                <w:color w:val="auto"/>
                <w:w w:val="98"/>
              </w:rPr>
              <w:t>ASURE SOFTWARE, INC.</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color w:val="auto"/>
                <w:w w:val="91"/>
              </w:rPr>
              <w:t>(Amounts in thousands)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color w:val="auto"/>
                <w:w w:val="91"/>
              </w:rPr>
              <w:t>(Unaudited)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0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02"/>
        </w:trPr>
        <w:tc>
          <w:tcPr>
            <w:tcW w:w="8100" w:type="dxa"/>
            <w:vAlign w:val="bottom"/>
            <w:gridSpan w:val="2"/>
          </w:tcPr>
          <w:p>
            <w:pPr>
              <w:spacing w:after="0" w:line="201" w:lineRule="exact"/>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w:t>
            </w: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02"/>
        </w:trPr>
        <w:tc>
          <w:tcPr>
            <w:tcW w:w="81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Accounts receivable, net of allowance for doubtful accounts of $209 and $182 at September</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30, 2013 and December 31, 2012, respectively</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w:t>
            </w: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23"/>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9"/>
                <w:szCs w:val="19"/>
                <w:color w:val="auto"/>
              </w:rPr>
            </w:pPr>
          </w:p>
        </w:tc>
      </w:tr>
      <w:tr>
        <w:trPr>
          <w:trHeight w:val="216"/>
        </w:trPr>
        <w:tc>
          <w:tcPr>
            <w:tcW w:w="81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7,249</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1,154</w:t>
            </w: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15,525</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10,208</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12,179</w:t>
            </w:r>
          </w:p>
        </w:tc>
      </w:tr>
      <w:tr>
        <w:trPr>
          <w:trHeight w:val="223"/>
        </w:trPr>
        <w:tc>
          <w:tcPr>
            <w:tcW w:w="8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10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35,334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36,148</w:t>
            </w:r>
          </w:p>
        </w:tc>
      </w:tr>
      <w:tr>
        <w:trPr>
          <w:trHeight w:val="21"/>
        </w:trPr>
        <w:tc>
          <w:tcPr>
            <w:tcW w:w="10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notes payable</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w:t>
            </w: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2,713</w:t>
            </w: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r>
      <w:tr>
        <w:trPr>
          <w:trHeight w:val="223"/>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10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15,415</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16,500</w:t>
            </w: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 related party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Notes payable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14,693</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15,887</w:t>
            </w:r>
          </w:p>
        </w:tc>
      </w:tr>
      <w:tr>
        <w:trPr>
          <w:trHeight w:val="223"/>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10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long-term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15,750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17,488</w:t>
            </w: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Preferred stock, $.01 par value; 1,500 shares authorized; none issued or 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1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$.01 par value; 11,000 shares authorized; 6,313 and 5,644 shares issued,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5,929 and 5,260 shares outstanding at September 30, 2013 and December 31, 2012,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Treasury stock at cost, 384 shares at September 30, 2013 and December 31, 2012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(5,017)</w:t>
            </w: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274,445</w:t>
            </w: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(268,782)</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(267,222)</w:t>
            </w:r>
          </w:p>
        </w:tc>
      </w:tr>
      <w:tr>
        <w:trPr>
          <w:trHeight w:val="223"/>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r>
        <w:trPr>
          <w:trHeight w:val="223"/>
        </w:trPr>
        <w:tc>
          <w:tcPr>
            <w:tcW w:w="810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4,169</w:t>
            </w: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2,160</w:t>
            </w:r>
          </w:p>
        </w:tc>
        <w:tc>
          <w:tcPr>
            <w:tcW w:w="100" w:type="dxa"/>
            <w:vAlign w:val="bottom"/>
            <w:tcBorders>
              <w:top w:val="single" w:sz="8" w:color="CCEEFF"/>
            </w:tcBorders>
          </w:tcPr>
          <w:p>
            <w:pPr>
              <w:spacing w:after="0"/>
              <w:rPr>
                <w:sz w:val="19"/>
                <w:szCs w:val="19"/>
                <w:color w:val="auto"/>
              </w:rPr>
            </w:pPr>
          </w:p>
        </w:tc>
      </w:tr>
      <w:tr>
        <w:trPr>
          <w:trHeight w:val="237"/>
        </w:trPr>
        <w:tc>
          <w:tcPr>
            <w:tcW w:w="1020" w:type="dxa"/>
            <w:vAlign w:val="bottom"/>
            <w:shd w:val="clear" w:color="auto" w:fill="CCEEFF"/>
          </w:tcPr>
          <w:p>
            <w:pPr>
              <w:spacing w:after="0"/>
              <w:rPr>
                <w:sz w:val="20"/>
                <w:szCs w:val="20"/>
                <w:color w:val="auto"/>
              </w:rPr>
            </w:pPr>
          </w:p>
        </w:tc>
        <w:tc>
          <w:tcPr>
            <w:tcW w:w="70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35,334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36,148</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7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rPr>
              <w:t>FOR THE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rPr>
              <w:t>FOR THE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jc w:val="center"/>
              <w:ind w:right="7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84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6,470</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5,659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18,742</w:t>
            </w:r>
          </w:p>
        </w:tc>
        <w:tc>
          <w:tcPr>
            <w:tcW w:w="380" w:type="dxa"/>
            <w:vAlign w:val="bottom"/>
            <w:shd w:val="clear" w:color="auto" w:fill="CCEEFF"/>
          </w:tcPr>
          <w:p>
            <w:pPr>
              <w:jc w:val="right"/>
              <w:ind w:right="222"/>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(1,542)</w:t>
            </w:r>
          </w:p>
        </w:tc>
        <w:tc>
          <w:tcPr>
            <w:tcW w:w="3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(936)</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(4,801)</w:t>
            </w:r>
          </w:p>
        </w:tc>
        <w:tc>
          <w:tcPr>
            <w:tcW w:w="3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Gross Margin</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4,928</w:t>
            </w: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4723</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13,941</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3,216</w:t>
            </w:r>
          </w:p>
        </w:tc>
        <w:tc>
          <w:tcPr>
            <w:tcW w:w="3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3,975</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9,939</w:t>
            </w:r>
          </w:p>
        </w:tc>
        <w:tc>
          <w:tcPr>
            <w:tcW w:w="3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736</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4,449</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5,357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13,701</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479</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240</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(Loss)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on sale/disposal of 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Loss on debt conversion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gain (loss)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Interest expense and other</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(328)</w:t>
            </w:r>
          </w:p>
        </w:tc>
        <w:tc>
          <w:tcPr>
            <w:tcW w:w="3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(1,378)</w:t>
            </w:r>
          </w:p>
        </w:tc>
        <w:tc>
          <w:tcPr>
            <w:tcW w:w="3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Interest expense- amortization of OID and derivative mark-to-</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market</w:t>
            </w: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w:t>
            </w:r>
          </w:p>
        </w:tc>
        <w:tc>
          <w:tcPr>
            <w:tcW w:w="3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b w:val="1"/>
                <w:bCs w:val="1"/>
                <w:color w:val="auto"/>
              </w:rPr>
              <w:t>Total other income (loss), net</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(331)</w:t>
            </w:r>
          </w:p>
        </w:tc>
        <w:tc>
          <w:tcPr>
            <w:tcW w:w="3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(564)</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(1,680)</w:t>
            </w:r>
          </w:p>
        </w:tc>
        <w:tc>
          <w:tcPr>
            <w:tcW w:w="3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Income (Loss) From Operations before Income Taxes</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(1,440)</w:t>
            </w:r>
          </w:p>
        </w:tc>
        <w:tc>
          <w:tcPr>
            <w:tcW w:w="3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24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(1,228)</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(1,560)</w:t>
            </w:r>
          </w:p>
        </w:tc>
        <w:tc>
          <w:tcPr>
            <w:tcW w:w="380" w:type="dxa"/>
            <w:vAlign w:val="bottom"/>
          </w:tcPr>
          <w:p>
            <w:pPr>
              <w:jc w:val="right"/>
              <w:ind w:right="222"/>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Foreign currency gain (loss)</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(1,230)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(1,552)</w:t>
            </w:r>
          </w:p>
        </w:tc>
        <w:tc>
          <w:tcPr>
            <w:tcW w:w="380" w:type="dxa"/>
            <w:vAlign w:val="bottom"/>
            <w:shd w:val="clear" w:color="auto" w:fill="CCEEFF"/>
          </w:tcPr>
          <w:p>
            <w:pPr>
              <w:jc w:val="right"/>
              <w:ind w:right="222"/>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(Loss) Per Share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(0.28)</w:t>
            </w:r>
          </w:p>
        </w:tc>
        <w:tc>
          <w:tcPr>
            <w:tcW w:w="380" w:type="dxa"/>
            <w:vAlign w:val="bottom"/>
          </w:tcPr>
          <w:p>
            <w:pPr>
              <w:jc w:val="right"/>
              <w:ind w:right="182"/>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w:t>
            </w:r>
          </w:p>
        </w:tc>
        <w:tc>
          <w:tcPr>
            <w:tcW w:w="380" w:type="dxa"/>
            <w:vAlign w:val="bottom"/>
            <w:shd w:val="clear" w:color="auto" w:fill="CCEEFF"/>
          </w:tcPr>
          <w:p>
            <w:pPr>
              <w:jc w:val="right"/>
              <w:ind w:right="222"/>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Weighted Average Basic and Diluted Shares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5,929,000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5,245,000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5,565,000</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6,217,000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5,245,000</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5,565,000</w:t>
            </w:r>
          </w:p>
        </w:tc>
        <w:tc>
          <w:tcPr>
            <w:tcW w:w="3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4,976,000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rPr>
              <w:t>FOR THE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97"/>
              </w:rPr>
              <w:t>SEPTEMBER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(1,560)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provided by operations: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2,234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Arial" w:cs="Arial" w:eastAsia="Arial" w:hAnsi="Arial"/>
                <w:sz w:val="18"/>
                <w:szCs w:val="18"/>
                <w:color w:val="auto"/>
              </w:rPr>
              <w:t>Amortization of original issue discount (OID)</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403</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sale/disposal of assets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Arial" w:cs="Arial" w:eastAsia="Arial" w:hAnsi="Arial"/>
                <w:sz w:val="18"/>
                <w:szCs w:val="18"/>
                <w:color w:val="auto"/>
              </w:rPr>
              <w:t>Interest income on settlement of post-closing working capital adjustment dispute</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Discount on early payoff of Legiant Notes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Arial" w:cs="Arial" w:eastAsia="Arial" w:hAnsi="Arial"/>
                <w:sz w:val="18"/>
                <w:szCs w:val="18"/>
                <w:color w:val="auto"/>
              </w:rPr>
              <w:t>Derivative mark-to-market</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debt conversion</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Restricted cash</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80"/>
              <w:spacing w:after="0"/>
              <w:rPr>
                <w:sz w:val="20"/>
                <w:szCs w:val="20"/>
                <w:color w:val="auto"/>
              </w:rPr>
            </w:pPr>
            <w:r>
              <w:rPr>
                <w:rFonts w:ascii="Arial" w:cs="Arial" w:eastAsia="Arial" w:hAnsi="Arial"/>
                <w:sz w:val="18"/>
                <w:szCs w:val="18"/>
                <w:color w:val="auto"/>
              </w:rPr>
              <w:t>Notes receivable</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(672)</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(967)</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 and other long-term obligations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658</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1,058</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Net cash provided by operating activities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1,179</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Net purchases of property and equipment</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Collection of note receivable</w:t>
            </w:r>
          </w:p>
        </w:tc>
        <w:tc>
          <w:tcPr>
            <w:tcW w:w="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Net cash used in investing activities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(143)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(9,895)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Proceeds from notes payable</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2,500</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notes payable</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(5,707)</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Payments on conversion of subordinated notes payable</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line of credit</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Payments on capital leases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financing fees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(298)</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Net proceeds from issuance of common stock</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3,435</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9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6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(121)</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Effect of translation exchange rates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929</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equivalents at beginning of period</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2,177</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Cash and equivalents at end of period</w:t>
            </w:r>
          </w:p>
        </w:tc>
        <w:tc>
          <w:tcPr>
            <w:tcW w:w="9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3,106</w:t>
            </w:r>
          </w:p>
        </w:tc>
        <w:tc>
          <w:tcPr>
            <w:tcW w:w="300" w:type="dxa"/>
            <w:vAlign w:val="bottom"/>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Interest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361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subordinated convertible notes payable to equity</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Issuance of common stock upon acquisition</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2" w:right="239" w:bottom="1097"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097"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2840" w:right="2520" w:hanging="261"/>
        <w:spacing w:after="0" w:line="323" w:lineRule="auto"/>
        <w:rPr>
          <w:sz w:val="20"/>
          <w:szCs w:val="20"/>
          <w:color w:val="auto"/>
        </w:rPr>
      </w:pPr>
      <w:r>
        <w:rPr>
          <w:rFonts w:ascii="Arial" w:cs="Arial" w:eastAsia="Arial" w:hAnsi="Arial"/>
          <w:sz w:val="16"/>
          <w:szCs w:val="16"/>
          <w:b w:val="1"/>
          <w:bCs w:val="1"/>
          <w:color w:val="auto"/>
        </w:rPr>
        <w:t xml:space="preserve">NOTES TO THE CONDENSED CONSOLIDATED FINANCIAL STATEMENTS </w:t>
      </w:r>
      <w:r>
        <w:rPr>
          <w:rFonts w:ascii="Arial" w:cs="Arial" w:eastAsia="Arial" w:hAnsi="Arial"/>
          <w:sz w:val="16"/>
          <w:szCs w:val="16"/>
          <w:color w:val="auto"/>
        </w:rPr>
        <w:t>(Amounts in thousands, except share and per share data unless otherwise noted)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PRESENTATION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Asure Software, Inc., a Delaware corporation incorporated in 1985, provides web-based workforce management solutions that enable organizations to manage their office environments as well as their human resource and payroll processes effectively and efficiently. Asure develops, markets, sells and supports its offerings worldwide through its principal office in Austin, Texas and through additional offices in Warwick, Rhode Island; Framingham, Massachusetts; Traverse City, Michigan and Staines, United Kingdom.</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prepared the accompanying unaudited condensed consolidated financial statements in accordance with the rules and regulations of the Securities and Exchange Commission and accordingly, they do not include all information and footnotes required under U.S. generally accepted accounting principles for complete financial statements. In the opinion of management, these interim financial statements contain all adjustments, consisting of normal, recurring adjustments, necessary for a fair presentation of our financial position as of September 30, 2013 and December 31, 2012, the results of operations for the three and nine months ended September 30, 2013 and 2012, and the cash flows for the nine months ended September 30, 2013 and 2012. Asure has adjusted all prior periods to reflect its 3-for-2 stock split which occurred on March 27, 2012, as if it had occurred at the earliest date presented in these financial statements.</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should read these condensed consolidated financial statements in conjunction with our audited consolidated financial statements and notes thereto filed with the Securities and Exchange Commission in our annual report on Form 10-K for the fiscal year ended December 31, 2012. The results for the interim periods are not necessarily indicative of results for a full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include cash deposits and highly liquid investments with an original maturity of three months or less when purchased.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CASH</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Restricted cash represents a certificate of deposit held in a cash collateral account as required by JPMorgan Chase Bank N.A. (“Bank”), to secure our obligations under our credit card line with the Bank.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April 11, 2013, The NASDAQ Stock Market (“NASDAQ”) notified us that we had failed to maintain a minimum market value of listed securities (“MVLS”) of $35,000 over the previous 30 consecutive business days as required by The NASDAQ Capital Market set forth in Listing Rule 5550(b)(2). NASDAQ also advised us in its letter that we did not meet the requirements under NASDAQ Marketplace Rule 5550(b)(1), which requires maintenance of $2,500 of stockholders’ equity, and Rule 5550(b)(3), which requires net income from continuing operations of $500 or more in 2012 or in two of the three years 2010, 2011 and 2012. Under Rule 5550, we could regain compliance and avoid the potential for delisting of our common stock by satisfying any one of the minimum MVLS test, the minimum equity test or the minimum net income test. In order to meet the minimum equity requirement, we increased stockholders’ equity by selling 662,000 shares for net proceeds of $3,400 in May 2013. On August 21, 2013, NASDAQ notified us that since the May 2013 sale of securities, which was at a discount to the then current market price, included certain officers and directors, the private placement required shareholder approval under Listing Rule 5635(c).We held a special meeting held on September 30, 2013 at which our stockholders voted to ratify this sale of shares to our officers and directors. On October 4, 2013, we received notification from NASDAQ that we have regained compliance with Listing Rule 5635(c) and Listing Rule 5550(b) and that this matter is now closed.</w:t>
      </w:r>
    </w:p>
    <w:p>
      <w:pPr>
        <w:spacing w:after="0" w:line="21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September 30, 2013, Asure’s principal source of liquidity consisted of $3,106 of current cash and cash equivalents as well as future cash generated from operations. We believe that we have and/or will generate sufficient cash for our short- and long-term needs, including meeting the requirements of our amended Notes Payable, and the related debt covenant requirements. We are continuing to reduce expenses as a percentage of revenue and thus may utilize our cash balances in the short-term to reduce long-term costs. Based on current internal projections, we believe that we currently have and/or will generate sufficient cash for our operational needs, including any required debt payments, for at least the next twelve months.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Management is focused on growing our existing product offering as well as our customer base to increase our recurring revenues. We are also exploring additional strategic acquisitions in the near future, although we have no agreements to make any acquisition at this time. We would fund any acquisitions with equity, available cash, future cash from operations, or debt from outside sources.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12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February 2013, the Financial Accounting Standards Board (“FASB”) issued guidance on disclosures of additional information with respect to changes in accumulated other comprehensive income (“AOCI”) balances by component and significant items reclassified out of AOCI. Expanded disclosures for presentation of changes in AOCI involve disaggregating the total change of each component of other comprehensive income as well as presenting separately for each such component the portion of the change in AOCI related to (1) amounts reclassified into income and (2) current-period other comprehensive income. Additionally, for amounts reclassified into income, we are required to disclose in one location, based upon each specific AOCI component, the amounts impacting individual income statement line items. We are required to disclose the income statement line item impacts only for components of AOCI reclassified into income in their entirety. We would make the disclosures required with respect to income statement line item impacts in either the notes to the consolidated financial statements or parenthetically on the face of the financial statements. For us, this Accounting Standards Update was effective beginning January 1, 2013. Because this standard only impacts presentation and disclosure requirements, its adoption did not have a material impact on our consolidated results of operations or financial condition.</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2013, the FASB issued Accounting Standards Update No. 2013-11 (ASU 2013-11), which updated the guidance in ASC Topic 740, Income Taxes. The amendments in ASU 2013-11 generally provide guidance for the presentation of unrecognized tax benefits when a net operating loss carryforward, a similar tax loss, or a tax credit carryforward exists at the reporting date. The guidance requires an unrecognized tax benefit to be presented as a decrease in a deferred tax asset where a net operating loss, a similar tax loss, or a tax credit carryforward exists and certain criteria are met. This guidance will become effective for us as of January 1, 2014 and is consistent with our present practice.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December 2012, we demanded a purchase price adjustment from PeopleCube Holding B.V. and Meeting Maker Holding B.V., the sellers of the capital stock of Meeting Maker – United States, Inc. (dba PeopleCube) that we purchased in July 2012, based on matters we discovered after closing. Both parties agreed for the post-closing adjustment to be resolved by an independent accountant consistent with the purchase agreement. In January 2013, we filed a claim in federal court in Texas seeking to compel the sellers to comply with the working capital adjustment process. The sellers simultaneously filed a claim in the state court of Massachusetts alleging that we did not comply with the working capital adjustment process. Our claim was amended in April 2013 to add contractual indemnification claims for the sellers’ breach of warranties and representations made in the purchase agreement. In May 2013, the sellers amended their original complaint to allege misrepresentations and omissions by us in connection with the purchase transaction. The sellers seek an unspecified amount of damages and the trebling of such damages once calculated. We have filed a counterclaim in Massachusetts for contractual indemnification claims for the sellers’ breach of their warranties and representations.</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2013, we reached an agreement (based upon the determination by the independent accountant) to settle our purchase price post-closing adjustment dispute with the sellers. The parties agreed to a post-closing adjustment due to us with accrued interest of $540. The parties agreed to reduce the original $3,000 deferred purchase payment by the post-closing adjustment amount. This also had the effect of reducing our long-term debt by a like amount. The remaining deferred purchase price balance is now $2,460.</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parties also agreed to dismiss the litigation and claims in Texas in favor of consolidating all remaining disputes in the Massachusetts state court. We will continue to seek contractual indemnification for the sellers’ breach of warranties and representations made in the purchase agreement in Massachusetts as a counterclaim to the sellers’ complaint. The litigation is currently in discovery. We continue to believe that the sellers' claims for damages against us are without merit and are continuing to defend them vigorously.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Effective August 1, 2008, Asure adopted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defines fair value, establishes a framework for measuring fair value in U.S. generally accepted accounting principles and expands disclosures about fair value measurements.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820 establishes a three-tier fair value hierarchy, which is based on the reliability of the inputs used in measuring fair values. These tiers include:</w:t>
      </w:r>
    </w:p>
    <w:p>
      <w:pPr>
        <w:spacing w:after="0" w:line="275" w:lineRule="exact"/>
        <w:rPr>
          <w:sz w:val="20"/>
          <w:szCs w:val="20"/>
          <w:color w:val="auto"/>
        </w:rPr>
      </w:pPr>
    </w:p>
    <w:p>
      <w:pPr>
        <w:ind w:left="720"/>
        <w:spacing w:after="0"/>
        <w:tabs>
          <w:tab w:leader="none" w:pos="16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xml:space="preserve">Quoted prices in active markets for </w:t>
      </w:r>
      <w:r>
        <w:rPr>
          <w:rFonts w:ascii="Arial" w:cs="Arial" w:eastAsia="Arial" w:hAnsi="Arial"/>
          <w:sz w:val="16"/>
          <w:szCs w:val="16"/>
          <w:i w:val="1"/>
          <w:iCs w:val="1"/>
          <w:color w:val="auto"/>
        </w:rPr>
        <w:t>identical</w:t>
      </w:r>
      <w:r>
        <w:rPr>
          <w:rFonts w:ascii="Arial" w:cs="Arial" w:eastAsia="Arial" w:hAnsi="Arial"/>
          <w:sz w:val="16"/>
          <w:szCs w:val="16"/>
          <w:color w:val="auto"/>
        </w:rPr>
        <w:t xml:space="preserve"> assets or liabilities;</w:t>
      </w:r>
    </w:p>
    <w:p>
      <w:pPr>
        <w:spacing w:after="0" w:line="225" w:lineRule="exact"/>
        <w:rPr>
          <w:sz w:val="20"/>
          <w:szCs w:val="20"/>
          <w:color w:val="auto"/>
        </w:rPr>
      </w:pPr>
    </w:p>
    <w:p>
      <w:pPr>
        <w:ind w:left="1700" w:right="40" w:hanging="967"/>
        <w:spacing w:after="0" w:line="277" w:lineRule="auto"/>
        <w:tabs>
          <w:tab w:leader="none" w:pos="16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 xml:space="preserve">Quoted prices in active markets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assets or liabilities; quoted prices in markets that are not active for identical or similar assets or liabilities; and model-driven valuations whose significant inputs are observable; and</w:t>
      </w:r>
    </w:p>
    <w:p>
      <w:pPr>
        <w:spacing w:after="0" w:line="170" w:lineRule="exact"/>
        <w:rPr>
          <w:sz w:val="20"/>
          <w:szCs w:val="20"/>
          <w:color w:val="auto"/>
        </w:rPr>
      </w:pPr>
    </w:p>
    <w:p>
      <w:pPr>
        <w:ind w:left="1700" w:right="60" w:hanging="967"/>
        <w:spacing w:after="0" w:line="277" w:lineRule="auto"/>
        <w:tabs>
          <w:tab w:leader="none" w:pos="16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fair value hierarchy for our financial assets measured at fair value on a recurring basis as of September 30,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respectively: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4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1"/>
              </w:rPr>
              <w:t>Fair Value Measure at September 30, 2013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1"/>
              </w:rPr>
              <w:t>Quoted</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Restricted cash- certificate of deposit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1"/>
              </w:rPr>
              <w:t>Fair Value Measure at December 31, 2012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1"/>
              </w:rPr>
              <w:t>Quoted</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Restricted cash- certificate of deposit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July 2012, Asure acquired the capital stock of Meeting Maker – United States, Inc., doing business as PeopleCube, for a combination of cash and Asure common stock. The 2012 acquisition of PeopleCube gave Asure a product line that includes software to assist customers in driving integrated facility management of offices, conference rooms, video conferencing, events and training, alternative workspaces and lobby use.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purchase price was composed of $9,800 in cash, subject to a post-closing working capital adjustment, (ii) 255 shares of our common stock, par value $0.01 per share, representing just under five percent of Asure’s outstanding shares and valued at $2.94 per share and (iii) an additional $3,000 note from us that is due on October 31, 2014, subject to offset of any amounts owed by the seller under the indemnification provisions of the stock purchase agreement. The note was adjusted to a fair value of $2,404 at the date of purchase based on our incremental borrowing rate. We recorded the note at fair value using a discount rate of 10%, which resulted in an original issue discount of $622, which will accrete up the note to its aggregate principal amount over the course of the life of the loan using the effective interest method. Details regarding the financing of the acquisition are described in the below Notes Payable table. Transactions costs for this acquisition were $905 and we expensed them as incurred.</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discussed above, in December 2012, we demanded a purchase price adjustment from PeopleCube Holding B.V. and Meeting Maker Holding B.V., the sellers of the capital stock of Meeting Maker – United States, Inc. (dba PeopleCube) that we purchased in July 2012, based on matters we discovered after closing. In the third quarter of 2013, we reached an agreement to settle our post-closing working capital adjustment dispute. The parties agreed to a post-closing working capital adjustment due to us of $496, with accrued interest of $44, totaling $540. The parties agreed to reduce the original $3,000 deferred purchase payment by the post-closing adjustment amount of $540. This also had the effect of reducing our long-term debt by a like amount and $496 was deducted from our goodwill balance. The remaining deferred purchase price balance under the Subordinated Notes Payable: Peoplecube Acquisition Note is now $2,460.</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following is the purchase price allocation for the acquisition of PeopleCube. We expect to continue to deduct goodwill arising from this acquisition for tax purposes over 15 years. We recorded the transaction using the acquisition method of accounting and recognized assets and liabilities assumed at their fair value as of the date of acquisition. The $7.4 million of intangible assets subject to amortization consist of $5.2 million allocated to Customer Relationships, $1.8 million in Developed Technology, $338 for Trade Names and $23 for a Covenant not-to-compete. We estimated the fair value of the Customer Relationships using the excess earnings method, a form of the income approach. We discounted cash flow projections using a rate of 16.6%, which reflects the risk associated with the intangible asset related to the other assets and the overall business operations to us. We estimated the fair value of the Developed Technology and Trade Names using the relief from royalty method based upon a 5% royalty rate. We estimated the value of the Covenant not-to-compete using a damages calculation, which is a form of the income approach.</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Consideration paid:</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per stock purchase agreement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Working capital adjustments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7"/>
        </w:trPr>
        <w:tc>
          <w:tcPr>
            <w:tcW w:w="7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w:t>
            </w:r>
          </w:p>
        </w:tc>
        <w:tc>
          <w:tcPr>
            <w:tcW w:w="1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9,800</w:t>
            </w: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Fair value of note payable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2,404</w:t>
            </w: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stock issued</w:t>
            </w:r>
          </w:p>
        </w:tc>
        <w:tc>
          <w:tcPr>
            <w:tcW w:w="1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w:t>
            </w:r>
          </w:p>
        </w:tc>
      </w:tr>
      <w:tr>
        <w:trPr>
          <w:trHeight w:val="27"/>
        </w:trPr>
        <w:tc>
          <w:tcPr>
            <w:tcW w:w="780" w:type="dxa"/>
            <w:vAlign w:val="bottom"/>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16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r>
      <w:tr>
        <w:trPr>
          <w:trHeight w:val="223"/>
        </w:trPr>
        <w:tc>
          <w:tcPr>
            <w:tcW w:w="7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Total consideration paid</w:t>
            </w:r>
          </w:p>
        </w:tc>
        <w:tc>
          <w:tcPr>
            <w:tcW w:w="16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12,951</w:t>
            </w:r>
          </w:p>
        </w:tc>
      </w:tr>
      <w:tr>
        <w:trPr>
          <w:trHeight w:val="432"/>
        </w:trPr>
        <w:tc>
          <w:tcPr>
            <w:tcW w:w="6240" w:type="dxa"/>
            <w:vAlign w:val="bottom"/>
            <w:gridSpan w:val="2"/>
          </w:tcPr>
          <w:p>
            <w:pPr>
              <w:spacing w:after="0"/>
              <w:rPr>
                <w:sz w:val="20"/>
                <w:szCs w:val="20"/>
                <w:color w:val="auto"/>
              </w:rPr>
            </w:pPr>
            <w:r>
              <w:rPr>
                <w:rFonts w:ascii="Arial" w:cs="Arial" w:eastAsia="Arial" w:hAnsi="Arial"/>
                <w:sz w:val="18"/>
                <w:szCs w:val="18"/>
                <w:color w:val="auto"/>
              </w:rPr>
              <w:t>We based the allocations on fair values at the date of acquisition:</w:t>
            </w:r>
          </w:p>
        </w:tc>
        <w:tc>
          <w:tcPr>
            <w:tcW w:w="1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39"/>
        </w:trPr>
        <w:tc>
          <w:tcPr>
            <w:tcW w:w="7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PeopleCube</w:t>
            </w: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Assets Acquired</w:t>
            </w:r>
          </w:p>
        </w:tc>
        <w:tc>
          <w:tcPr>
            <w:tcW w:w="1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40" w:type="dxa"/>
            <w:vAlign w:val="bottom"/>
            <w:tcBorders>
              <w:left w:val="single" w:sz="8" w:color="CCEEFF"/>
            </w:tcBorders>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Fixed assets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left w:val="single" w:sz="8" w:color="CCEEFF"/>
            </w:tcBorders>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Goodwill</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9,276</w:t>
            </w:r>
          </w:p>
        </w:tc>
        <w:tc>
          <w:tcPr>
            <w:tcW w:w="140" w:type="dxa"/>
            <w:vAlign w:val="bottom"/>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w:t>
            </w:r>
          </w:p>
        </w:tc>
        <w:tc>
          <w:tcPr>
            <w:tcW w:w="160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Total assets acquired</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19,570</w:t>
            </w:r>
          </w:p>
        </w:tc>
        <w:tc>
          <w:tcPr>
            <w:tcW w:w="140" w:type="dxa"/>
            <w:vAlign w:val="bottom"/>
          </w:tcPr>
          <w:p>
            <w:pPr>
              <w:spacing w:after="0"/>
              <w:rPr>
                <w:sz w:val="19"/>
                <w:szCs w:val="19"/>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6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w:t>
            </w: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Accrued other liabilities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payable</w:t>
            </w:r>
          </w:p>
        </w:tc>
        <w:tc>
          <w:tcPr>
            <w:tcW w:w="1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(1,614)</w:t>
            </w: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Deferred revenue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(4,089)</w:t>
            </w:r>
          </w:p>
        </w:tc>
      </w:tr>
      <w:tr>
        <w:trPr>
          <w:trHeight w:val="27"/>
        </w:trPr>
        <w:tc>
          <w:tcPr>
            <w:tcW w:w="7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780" w:type="dxa"/>
            <w:vAlign w:val="bottom"/>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assumed</w:t>
            </w:r>
          </w:p>
        </w:tc>
        <w:tc>
          <w:tcPr>
            <w:tcW w:w="16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(6,619)</w:t>
            </w:r>
          </w:p>
        </w:tc>
      </w:tr>
      <w:tr>
        <w:trPr>
          <w:trHeight w:val="216"/>
        </w:trPr>
        <w:tc>
          <w:tcPr>
            <w:tcW w:w="780" w:type="dxa"/>
            <w:vAlign w:val="bottom"/>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7"/>
        </w:trPr>
        <w:tc>
          <w:tcPr>
            <w:tcW w:w="780" w:type="dxa"/>
            <w:vAlign w:val="bottom"/>
          </w:tcPr>
          <w:p>
            <w:pPr>
              <w:spacing w:after="0"/>
              <w:rPr>
                <w:sz w:val="20"/>
                <w:szCs w:val="20"/>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12,951</w:t>
            </w:r>
          </w:p>
        </w:tc>
        <w:tc>
          <w:tcPr>
            <w:tcW w:w="140" w:type="dxa"/>
            <w:vAlign w:val="bottom"/>
            <w:tcBorders>
              <w:left w:val="single" w:sz="8" w:color="CCEEFF"/>
            </w:tcBorders>
            <w:shd w:val="clear" w:color="auto" w:fill="CCEEFF"/>
          </w:tcPr>
          <w:p>
            <w:pPr>
              <w:spacing w:after="0"/>
              <w:rPr>
                <w:sz w:val="20"/>
                <w:szCs w:val="20"/>
                <w:color w:val="auto"/>
              </w:rPr>
            </w:pPr>
          </w:p>
        </w:tc>
      </w:tr>
      <w:tr>
        <w:trPr>
          <w:trHeight w:val="20"/>
        </w:trPr>
        <w:tc>
          <w:tcPr>
            <w:tcW w:w="780" w:type="dxa"/>
            <w:vAlign w:val="bottom"/>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unaudited summary of pro forma combined results of operation for 2012 gives effect to the acquisition of PeopleCube as if we had completed it on January 1, 2012. This pro forma summary does not reflect any operating efficiencies, cost savings or revenue enhancements that we may achieve by combining companies. In addition, we have not reflected certain non-recurring expenses, such as legal expenses and other transactions expenses for the first 12 months after the acquisition, in the pro forma summary. We present this pro forma summary for informational purposes only and it is not necessarily indicative of what our actual results of operations would have been had the acquisition taken place as January 1, 2012, nor is it indicative of future consolidated results of operations.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For the Three</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Months</w:t>
            </w: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w w:val="97"/>
              </w:rPr>
              <w:t>For the Nine Months</w:t>
            </w:r>
          </w:p>
        </w:tc>
      </w:tr>
      <w:tr>
        <w:trPr>
          <w:trHeight w:val="216"/>
        </w:trPr>
        <w:tc>
          <w:tcPr>
            <w:tcW w:w="3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 September</w:t>
            </w:r>
          </w:p>
        </w:tc>
        <w:tc>
          <w:tcPr>
            <w:tcW w:w="10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 September</w:t>
            </w:r>
          </w:p>
        </w:tc>
      </w:tr>
      <w:tr>
        <w:trPr>
          <w:trHeight w:val="216"/>
        </w:trPr>
        <w:tc>
          <w:tcPr>
            <w:tcW w:w="3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8"/>
                <w:szCs w:val="18"/>
                <w:color w:val="auto"/>
              </w:rPr>
            </w:pPr>
          </w:p>
        </w:tc>
      </w:tr>
      <w:tr>
        <w:trPr>
          <w:trHeight w:val="241"/>
        </w:trPr>
        <w:tc>
          <w:tcPr>
            <w:tcW w:w="3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(actual)</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(pro forma)</w:t>
            </w:r>
          </w:p>
        </w:tc>
        <w:tc>
          <w:tcPr>
            <w:tcW w:w="120" w:type="dxa"/>
            <w:vAlign w:val="bottom"/>
          </w:tcPr>
          <w:p>
            <w:pPr>
              <w:spacing w:after="0"/>
              <w:rPr>
                <w:sz w:val="20"/>
                <w:szCs w:val="20"/>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18,907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(4,355)</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Basic and diluted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(0.85)</w:t>
            </w:r>
          </w:p>
        </w:tc>
      </w:tr>
      <w:tr>
        <w:trPr>
          <w:trHeight w:val="216"/>
        </w:trPr>
        <w:tc>
          <w:tcPr>
            <w:tcW w:w="38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5,145</w:t>
            </w: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Asure accounted for its historical acquisitions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We recorded the amount exceeding the fair value of net assets acquired at the date of acquisition as goodwill. We recorded intangible assets apart from goodwill if the assets had contractual or other legal rights or if the assets could be separated and sold, transferred, licensed, rented or exchanged. Asure’s goodwill relates to the acquisitions of ADI and Legiant in 2011 and the acquisition of PeopleCube in July 2012.</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accordance with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we review and evaluate our long-lived assets, including intangible assets with finite lives, for impairment whenever events or changes in circumstances indicate that we may not recover their net book value. We test goodwill for impairment on an annual basis in the fourth fiscal quarter of each year, and between annual tests, if indicators of potential impairment exist, using a fair-value-based approach. There has been no impairment of goodwill for the periods presented. We amortize intangible assets not considered to have an indefinite useful life using the straight-line method over their estimated period of benefit, which generally ranges from one to ten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discussed above, in the third quarter of 2013, we reached an agreement to settle our purchase price post-closing adjustment dispute. The parties agreed to a post-closing adjustment due to us of $496, with accrued interest of $44, totaling $540. The post-closing adjustment of $496 was deducted from our goodwill balance at September 30, 2013.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2"/>
          </w:tcPr>
          <w:p>
            <w:pPr>
              <w:ind w:left="660"/>
              <w:spacing w:after="0"/>
              <w:rPr>
                <w:sz w:val="20"/>
                <w:szCs w:val="20"/>
                <w:color w:val="auto"/>
              </w:rPr>
            </w:pPr>
            <w:r>
              <w:rPr>
                <w:rFonts w:ascii="Arial" w:cs="Arial" w:eastAsia="Arial" w:hAnsi="Arial"/>
                <w:sz w:val="18"/>
                <w:szCs w:val="18"/>
                <w:color w:val="auto"/>
                <w:w w:val="97"/>
              </w:rPr>
              <w:t>The following table summarizes the changes in our goodwill:</w:t>
            </w:r>
          </w:p>
        </w:tc>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3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15,525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Adjustments to goodwill</w:t>
            </w:r>
          </w:p>
        </w:tc>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(521)</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1440" w:type="dxa"/>
            <w:vAlign w:val="bottom"/>
          </w:tcPr>
          <w:p>
            <w:pPr>
              <w:spacing w:after="0"/>
              <w:rPr>
                <w:sz w:val="22"/>
                <w:szCs w:val="22"/>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September 30, 2013</w:t>
            </w:r>
          </w:p>
        </w:tc>
        <w:tc>
          <w:tcPr>
            <w:tcW w:w="3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15,004</w:t>
            </w:r>
          </w:p>
        </w:tc>
        <w:tc>
          <w:tcPr>
            <w:tcW w:w="1440" w:type="dxa"/>
            <w:vAlign w:val="bottom"/>
          </w:tcPr>
          <w:p>
            <w:pPr>
              <w:spacing w:after="0"/>
              <w:rPr>
                <w:sz w:val="22"/>
                <w:szCs w:val="22"/>
                <w:color w:val="auto"/>
              </w:rPr>
            </w:pPr>
          </w:p>
        </w:tc>
      </w:tr>
      <w:tr>
        <w:trPr>
          <w:trHeight w:val="601"/>
        </w:trPr>
        <w:tc>
          <w:tcPr>
            <w:tcW w:w="1440" w:type="dxa"/>
            <w:vAlign w:val="bottom"/>
          </w:tcPr>
          <w:p>
            <w:pPr>
              <w:spacing w:after="0"/>
              <w:rPr>
                <w:sz w:val="24"/>
                <w:szCs w:val="24"/>
                <w:color w:val="auto"/>
              </w:rPr>
            </w:pPr>
          </w:p>
        </w:tc>
        <w:tc>
          <w:tcPr>
            <w:tcW w:w="3900" w:type="dxa"/>
            <w:vAlign w:val="bottom"/>
            <w:tcBorders>
              <w:top w:val="single" w:sz="8" w:color="CCEEFF"/>
            </w:tcBorders>
          </w:tcPr>
          <w:p>
            <w:pPr>
              <w:spacing w:after="0"/>
              <w:rPr>
                <w:sz w:val="24"/>
                <w:szCs w:val="24"/>
                <w:color w:val="auto"/>
              </w:rPr>
            </w:pPr>
          </w:p>
        </w:tc>
        <w:tc>
          <w:tcPr>
            <w:tcW w:w="3140" w:type="dxa"/>
            <w:vAlign w:val="bottom"/>
            <w:tcBorders>
              <w:top w:val="single" w:sz="8" w:color="CCEEFF"/>
            </w:tcBorders>
          </w:tcPr>
          <w:p>
            <w:pPr>
              <w:jc w:val="right"/>
              <w:ind w:right="2590"/>
              <w:spacing w:after="0"/>
              <w:rPr>
                <w:sz w:val="20"/>
                <w:szCs w:val="20"/>
                <w:color w:val="auto"/>
              </w:rPr>
            </w:pPr>
            <w:r>
              <w:rPr>
                <w:rFonts w:ascii="Arial" w:cs="Arial" w:eastAsia="Arial" w:hAnsi="Arial"/>
                <w:sz w:val="18"/>
                <w:szCs w:val="18"/>
                <w:color w:val="auto"/>
              </w:rPr>
              <w:t>10</w:t>
            </w: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gross carrying amount and accumulated amortization of our intangible assets as of September 30, 2013 and December 31, 2012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8"/>
                <w:szCs w:val="18"/>
                <w:b w:val="1"/>
                <w:bCs w:val="1"/>
                <w:color w:val="auto"/>
              </w:rPr>
              <w:t>September 30, 2013</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8"/>
              </w:rPr>
              <w:t>Weighted</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Accumulated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Intangible Asset</w:t>
            </w:r>
          </w:p>
        </w:tc>
        <w:tc>
          <w:tcPr>
            <w:tcW w:w="120" w:type="dxa"/>
            <w:vAlign w:val="bottom"/>
          </w:tcPr>
          <w:p>
            <w:pPr>
              <w:spacing w:after="0"/>
              <w:rPr>
                <w:sz w:val="20"/>
                <w:szCs w:val="20"/>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Period (in Years)</w:t>
            </w:r>
          </w:p>
        </w:tc>
        <w:tc>
          <w:tcPr>
            <w:tcW w:w="3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Amortization</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6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(1,349)</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(4,886)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6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17,542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(7,334)</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rPr>
              <w:t>December 31, 2012</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8"/>
              </w:rPr>
              <w:t>Weighted</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Accumulated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Intangible Asset</w:t>
            </w:r>
          </w:p>
        </w:tc>
        <w:tc>
          <w:tcPr>
            <w:tcW w:w="120" w:type="dxa"/>
            <w:vAlign w:val="bottom"/>
          </w:tcPr>
          <w:p>
            <w:pPr>
              <w:spacing w:after="0"/>
              <w:rPr>
                <w:sz w:val="20"/>
                <w:szCs w:val="20"/>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Period (in Years)</w:t>
            </w:r>
          </w:p>
        </w:tc>
        <w:tc>
          <w:tcPr>
            <w:tcW w:w="3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Amortization</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6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(1,111)</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(3,515)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6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7.2</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17,627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(5,448)</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record amortization expense using the straight-line method over the estimated economic useful lives of the intangible assets, as noted above. Amortization expenses for the three months ended September 30, 2013 and 2012 were $497 and $573, respectively, included in Operating Expenses. Amortization expenses recorded in Cost of Sales were $102 and $126 for the three months ended September 30, 2013 and 2012, respectively. Amortization expenses for the nine months ended September 30, 2013 and 2012 were $1, 662 and $1,158 included in Operating Expenses, and $241 and $254, respectively, included in Cost of Sales.</w:t>
      </w:r>
    </w:p>
    <w:p>
      <w:pPr>
        <w:spacing w:after="0" w:line="21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August 2013, we entered into a purchase agreement to sell certain customer relationships, developed technology and trade names related to certain intangible assets acquired in the purchase of PeopleCube. The selling price for these assets was $140 with a gain recognized of $72.</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future estimated amortization expense relating to our intangible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Twelve Months Ended</w:t>
            </w:r>
          </w:p>
        </w:tc>
        <w:tc>
          <w:tcPr>
            <w:tcW w:w="3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 (remaining)</w:t>
            </w:r>
          </w:p>
        </w:tc>
        <w:tc>
          <w:tcPr>
            <w:tcW w:w="430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December 31, 2014</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2,264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December 31, 2016</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Thereafter</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2,080</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1440" w:type="dxa"/>
            <w:vAlign w:val="bottom"/>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3820" w:type="dxa"/>
            <w:vAlign w:val="bottom"/>
            <w:gridSpan w:val="2"/>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10,208</w:t>
            </w:r>
          </w:p>
        </w:tc>
        <w:tc>
          <w:tcPr>
            <w:tcW w:w="1440" w:type="dxa"/>
            <w:vAlign w:val="bottom"/>
          </w:tcPr>
          <w:p>
            <w:pPr>
              <w:spacing w:after="0"/>
              <w:rPr>
                <w:sz w:val="22"/>
                <w:szCs w:val="22"/>
                <w:color w:val="auto"/>
              </w:rPr>
            </w:pPr>
          </w:p>
        </w:tc>
      </w:tr>
      <w:tr>
        <w:trPr>
          <w:trHeight w:val="574"/>
        </w:trPr>
        <w:tc>
          <w:tcPr>
            <w:tcW w:w="1440" w:type="dxa"/>
            <w:vAlign w:val="bottom"/>
          </w:tcPr>
          <w:p>
            <w:pPr>
              <w:spacing w:after="0"/>
              <w:rPr>
                <w:sz w:val="24"/>
                <w:szCs w:val="24"/>
                <w:color w:val="auto"/>
              </w:rPr>
            </w:pPr>
          </w:p>
        </w:tc>
        <w:tc>
          <w:tcPr>
            <w:tcW w:w="3240" w:type="dxa"/>
            <w:vAlign w:val="bottom"/>
            <w:tcBorders>
              <w:top w:val="single" w:sz="8" w:color="CCEEFF"/>
            </w:tcBorders>
          </w:tcPr>
          <w:p>
            <w:pPr>
              <w:spacing w:after="0"/>
              <w:rPr>
                <w:sz w:val="24"/>
                <w:szCs w:val="24"/>
                <w:color w:val="auto"/>
              </w:rPr>
            </w:pPr>
          </w:p>
        </w:tc>
        <w:tc>
          <w:tcPr>
            <w:tcW w:w="3720" w:type="dxa"/>
            <w:vAlign w:val="bottom"/>
            <w:tcBorders>
              <w:top w:val="single" w:sz="8" w:color="CCEEFF"/>
            </w:tcBorders>
          </w:tcPr>
          <w:p>
            <w:pPr>
              <w:jc w:val="right"/>
              <w:ind w:right="251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 AND DERIVATIVE LIABILITY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outstanding debt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Balance as of</w:t>
            </w:r>
          </w:p>
        </w:tc>
        <w:tc>
          <w:tcPr>
            <w:tcW w:w="1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Balance as of</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Stated Interest</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September</w:t>
            </w:r>
          </w:p>
        </w:tc>
        <w:tc>
          <w:tcPr>
            <w:tcW w:w="1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December</w:t>
            </w:r>
          </w:p>
        </w:tc>
      </w:tr>
      <w:tr>
        <w:trPr>
          <w:trHeight w:val="241"/>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Notes Payable</w:t>
            </w:r>
          </w:p>
        </w:tc>
        <w:tc>
          <w:tcPr>
            <w:tcW w:w="120" w:type="dxa"/>
            <w:vAlign w:val="bottom"/>
          </w:tcPr>
          <w:p>
            <w:pPr>
              <w:spacing w:after="0"/>
              <w:rPr>
                <w:sz w:val="20"/>
                <w:szCs w:val="20"/>
                <w:color w:val="auto"/>
              </w:rPr>
            </w:pPr>
          </w:p>
        </w:tc>
        <w:tc>
          <w:tcPr>
            <w:tcW w:w="1260" w:type="dxa"/>
            <w:vAlign w:val="bottom"/>
          </w:tcPr>
          <w:p>
            <w:pPr>
              <w:ind w:left="280"/>
              <w:spacing w:after="0"/>
              <w:rPr>
                <w:sz w:val="20"/>
                <w:szCs w:val="20"/>
                <w:color w:val="auto"/>
              </w:rPr>
            </w:pPr>
            <w:r>
              <w:rPr>
                <w:rFonts w:ascii="Arial" w:cs="Arial" w:eastAsia="Arial" w:hAnsi="Arial"/>
                <w:sz w:val="18"/>
                <w:szCs w:val="18"/>
                <w:b w:val="1"/>
                <w:bCs w:val="1"/>
                <w:color w:val="auto"/>
              </w:rPr>
              <w:t>Maturity</w:t>
            </w:r>
          </w:p>
        </w:tc>
        <w:tc>
          <w:tcPr>
            <w:tcW w:w="120" w:type="dxa"/>
            <w:vAlign w:val="bottom"/>
          </w:tcPr>
          <w:p>
            <w:pPr>
              <w:spacing w:after="0"/>
              <w:rPr>
                <w:sz w:val="20"/>
                <w:szCs w:val="20"/>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Rate</w:t>
            </w:r>
          </w:p>
        </w:tc>
        <w:tc>
          <w:tcPr>
            <w:tcW w:w="12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30, 2013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31,2012</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2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Subordinated notes payable:</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ADI - Acquisition Note</w:t>
            </w:r>
          </w:p>
        </w:tc>
        <w:tc>
          <w:tcPr>
            <w:tcW w:w="13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10/1/2014</w:t>
            </w: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r>
      <w:tr>
        <w:trPr>
          <w:trHeight w:val="202"/>
        </w:trPr>
        <w:tc>
          <w:tcPr>
            <w:tcW w:w="2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Subordinated notes payable:</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Legiant Acquisition - Note # 2</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10/1/2014</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Subordinated notes payable:</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Legiant – Acquisition – Note #3</w:t>
            </w:r>
          </w:p>
        </w:tc>
        <w:tc>
          <w:tcPr>
            <w:tcW w:w="13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10/1/2014</w:t>
            </w: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Subordinated Convertible Notes Payable – 9% Notes</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9/30/2014</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Payable – 15% Notes</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9/30/2014</w:t>
            </w: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Subordinated Notes Payable: PeopleCube Acquisition Note</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10/31/2014</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2,153</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2,499</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Senior Note Payable</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7/01/2016</w:t>
            </w: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14,138</w:t>
            </w:r>
          </w:p>
        </w:tc>
      </w:tr>
      <w:tr>
        <w:trPr>
          <w:trHeight w:val="27"/>
        </w:trPr>
        <w:tc>
          <w:tcPr>
            <w:tcW w:w="20" w:type="dxa"/>
            <w:vAlign w:val="bottom"/>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b w:val="1"/>
                <w:bCs w:val="1"/>
                <w:color w:val="auto"/>
              </w:rPr>
              <w:t>Total Notes Payable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16,658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20,137</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notes payable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w:t>
            </w:r>
          </w:p>
        </w:tc>
      </w:tr>
      <w:tr>
        <w:trPr>
          <w:trHeight w:val="230"/>
        </w:trPr>
        <w:tc>
          <w:tcPr>
            <w:tcW w:w="20" w:type="dxa"/>
            <w:vAlign w:val="bottom"/>
          </w:tcPr>
          <w:p>
            <w:pPr>
              <w:spacing w:after="0"/>
              <w:rPr>
                <w:sz w:val="20"/>
                <w:szCs w:val="20"/>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Long-term notes payable</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14,693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16,687</w:t>
            </w:r>
          </w:p>
        </w:tc>
      </w:tr>
    </w:tbl>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future principal payments related to our outstanding debt, including the impact of the amendment to the Senior Note Payable discussed below:</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Unamortized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Original Issue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Total Notes</w:t>
            </w:r>
          </w:p>
        </w:tc>
      </w:tr>
      <w:tr>
        <w:trPr>
          <w:trHeight w:val="241"/>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Twelve Months Ended</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Gross 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Discount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Payable</w:t>
            </w:r>
          </w:p>
        </w:tc>
        <w:tc>
          <w:tcPr>
            <w:tcW w:w="120" w:type="dxa"/>
            <w:vAlign w:val="bottom"/>
          </w:tcPr>
          <w:p>
            <w:pPr>
              <w:spacing w:after="0"/>
              <w:rPr>
                <w:sz w:val="20"/>
                <w:szCs w:val="20"/>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 (remaining)</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December 31, 2014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5,360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9,648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17,070</w:t>
            </w:r>
          </w:p>
        </w:tc>
        <w:tc>
          <w:tcPr>
            <w:tcW w:w="2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412</w:t>
            </w:r>
          </w:p>
        </w:tc>
        <w:tc>
          <w:tcPr>
            <w:tcW w:w="3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16,658</w:t>
            </w:r>
          </w:p>
        </w:tc>
      </w:tr>
      <w:tr>
        <w:trPr>
          <w:trHeight w:val="20"/>
        </w:trPr>
        <w:tc>
          <w:tcPr>
            <w:tcW w:w="3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ubordinated Notes Payable: ADI - Acquisition Note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conjunction with the acquisition of the assets of ADI in October 2011, our wholly-owned subsidiary issued a $1,095 note payable to the seller. This note bears interest at an annual rate of 0.16%, will mature on October 1, 2014 and is guaranteed by us. We recorded the note at fair value using a discount rate of 9%, which resulted in an original issue discount of $244, which will accrete up the note to its aggregate principal amount over the course of the life of the loan using the effective interest method. We made a principal payment of $245 in July 2012. This note was paid in full in October 2013, less a 5% discount for early payment.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Legiant Acquisition</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conjunction with the acquisition of Legiant, our wholly-owned subsidiary issued three separate promissory notes to the seller. We guaranteed all three promissory notes, which are subordinated to our senior note payable discussed below. The details of each of the notes are as follows: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Legiant Acquisition - Note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Legiant Acquisition - Note #1 was for an aggregate principal amount of $250, bore interest at an annual rate of 0.20% and matured in February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paid this note in full in 2012.</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Legiant Acquisition - Note #2</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Legiant Acquisition - Note #2 is for the principal amount of $478, bears interest at an annual rate of 5.00% and required monthly payments of $10 until June 2012. Asure made a principal payment for $235 in July 2012. No further cash interest or principal is payable until the maturity date of October 1, 2014. We paid this note in full on September 30, 2013, less a 15% discount for early payment, in connection with the additional borrowing under our Senior Note Payable, as described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Legiant Acquisition - Note #3</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Legiant Acquisition - Note #3 is for an aggregate principal amount of $1,761, bears interest at an annual rate of 0.20%, and is due in a single lump sum on October 1, 2014. We recorded the note at fair value using a discount rate of 9%, resulting in an original issue discount of $382, which will accrete up the note to its aggregate principal amount over the course of the life of the loan using the effective interest method. We paid this note in full on September 30, 2013, less a 15% discount for early payment, in connection with the additional borrowing under our Senior Note Payable, as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Convertible Notes Payable - 9% Notes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September 2011, we sold $1,500 of our 9% subordinated convertible notes (“9% Notes”) in a private placement to accredited investors to finance the ADI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9% Notes - As Originally Issued</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9% Notes pay interest on each of March 31, June 30, September 30 and December 31, beginning on December 31, 2011, at a rate of 9% per year. The 9% Notes will mature on September 30, 2014. The 9% Notes are secured by all of our assets, but are subordinated to our obligations under the senior note payable and the 15% Notes discussed below.</w:t>
      </w:r>
    </w:p>
    <w:p>
      <w:pPr>
        <w:spacing w:after="0" w:line="20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Beginning 12 months from the date of issuance, each note holder may convert the 9% Notes into shares of our common stock at a conversion price of $5.00 per share, subject to adjustments for stock dividends and splits and certain other events. Additionally, if we subsequently issue common stock at a price below the then current conversion price, the conversion price will be reset to the greater of $3.27 per share (the closing price of our common stock on September 30, 2011) or such lower price. In the event that a holder of a 9% Note elects to convert the 9% Note into equity, and we determine that such conversion would jeopardize our federal tax loss carryforward benefits, we may elect to prepay any or all of such 9% Notes prior to conversion, subject to certain limitations, at a purchase price equal to the product of the number of shares into which the 9% Note is convertible and the volume weighted average closing price during the 20 day trading period beginning on the 10th day before the conversion notice is received by us, multiplied by the Premium Rate. The Premium Rate is 1.1 if a holder notifies us of an intention to convert the 9% Note into</w:t>
      </w:r>
    </w:p>
    <w:p>
      <w:pPr>
        <w:spacing w:after="0" w:line="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equity prior to the date that is 90 days before the maturity date and 1.5 if such notification is made within 90 days of the maturity date. The 9% Notes also contain customary terms of default.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agreed that if we issue common stock below $3.25 per share, each holder of the 9% Notes outstanding at that time will have the right to purchase such holder’s pro rata portion of the new stock issuance.</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9% Notes contained embedded derivative instruments related to the conversion feature that Asure accounted for separately. Asure has re-measured the fair values of these instruments for each reporting period and recorded a gain or loss for the change in fair value. At inception, we valued the conversion feature at $274, resulting in an original issue discount on the convertible debt accreting up the 9% Notes to their aggregate principal amount over the course of the life of the loan using the effective interest method. We recognized amortization of the original issue discount of $21 during 2011. We used a Monte Carlo simulation in a risk-neutral framework to simulate our market capitalization outcomes, including considerations of our projected share price volatility, to estimate the fair value of the embedded derivative. The fair value of the conversion feature was $835 at December 31, 2011, with $561 being recorded in the income statement for the mark-to-market impact. This amount of $561 was recorded in interest expense – amortization of OID and derivative mark-to-market in our Consolidated Statements of Comprehensive Income (Loss).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9% Notes - Amendments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March 2012, we amended the terms of the 9% Notes to eliminate the embedded derivative features resulting in a settlement or extinguishment of the derivative liability. Under the terms of the amendment, each holder of 9% Notes was permitted to convert the outstanding principal balance due thereunder into shares of our common stock at the conversion price originally set forth in the 9% Notes ($5.00 per share of common stock) on or before March 15, 2012. As consideration for agreeing to the terms of the amendment, we made a one-time cash payment in such amount as follows: (i) $211 for holders of 9% Notes who elected to convert their 9% Notes into common stock prior to March 16, 2012, an amount equal to 80% of the interest that such holder would have received by holding the 9% Note to maturity and (ii) $11 for holders of 9% Notes who did not elect to convert their 9% Notes into common stock prior to March 16, 2012, an amount equal to 3% of the outstanding principal amount of each 9% Note. In each case, the holders of the 9% Notes agreed to the removal of the dilution protection provision to reset the conversion price below $5.00 per share upon certain issuances of our common stock below $5.00 per share. Holders of approximately $1,150 of the total $1,500 of principal amount of 9% Notes converted their 9% Notes to common stock.</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amendment to the 9% Notes eliminated the derivative liability. Effective on March 10, 2012, we no longer accounted for the derivatives on a separate basis. Therefore, we no longer re-measure the value of the derivatives after the amendment date. The fair value of the conversion feature was $1,300 at March 10, 2012, with $465 recorded in the income statement for the mark-to-market impact. We recorded this amount in interest expense – amortization of OID and derivative mark-to-market in the Consolidated Statements of Comprehensive Income (Loss). The conversion of the 9% Notes and elimination of the derivative liability resulted in a loss on debt conversion of $198, a reduction in the carrying value of the 9% Notes to $296 at March 31, 2012 and an increase in additional paid in capital of $2,244 for the issuance of 345 shares of common stock issued upon conversion.</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Goepel, our Chief Executive Officer, purchased $200 of the 9% Notes. Red Oak Fund, LP purchased $600 of the 9% Notes. Mr. Sandberg, our Chairman, is the controlling member of Red Oak Partners, LLC, which manages the Red Oak Fund. Both parties subsequently converted the 9% Notes under the terms of the amendment.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- 15% Notes</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September 2011, we sold $1,700 of our 15% subordinated notes (“15% Notes”) in a private placement to accredited investors. The 15% Notes pay interest on each of March 31, June 30, September 30 and December 31, beginning on December 31, 2011, at a rate of 15% per year. The 15% Notes have a maturity date of September 30, 2014. On July 1, 2012, Asure prepaid $900 from proceeds of the senior note payable. Mr. Goepel, our Chief Executive Officer, originally purchased $500 of the 15% Notes. Pinnacle Fund, LLLP originally purchased $300 of the 15% Notes. Mr. Sandberg, our Chairman, is the controlling member of Red Oak Partners, LLC, which owns 50% of Pinnacle Partners, LLC, the general partner of the Pinnacle Fund, LLLP. Red Oak Partners, LLC is also the manager of the Pinnacle Fund, LLLP. We expensed $115 of fees for this transaction during 2012. The 15% Notes are secured by all of our assets, but are subordinated to our obligations to the senior note payable discussed below. The 15% Notes also contain customary terms of default. We paid these notes in full on September 30, 2013, in connection with the additional borrowing under our senior note payable, as described below.</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Subordinated Notes Payable: PeopleCube Acquisition – Note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2012, we issued a $3,000 Note to the seller in the PeopleCube stock acquisition. The note is due October 31, 2014, subject to offset of any amounts owed by the seller to us under the indemnification provisions of the stock purchase agreement. We recorded the note at fair value using a discount rate of 10%, which resulted in an original issue discount of $622, which will accrete up the note to its aggregate principal amount over the course of the life of the loan using the effective interest method.</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third quarter of 2013, we reached an agreement to settle our post-closing working capital adjustment dispute with PeopleCube Holding B.V. and Meeting Maker Holding B.V., the sellers of the capital stock of Meeting Maker – United States, Inc. (dba PeopleCube). The parties agreed to a post-closing adjustment due to us of $496, with accrued interest of $44, totaling $540. The parties agreed to reduce the original $3,000 deferred purchase payment by the post-closing adjustment amount of $540. This also had the effect of reducing our Note by a like amount. The remaining deferred purchase price balance under the Subordinated Notes Payable: PeopleCube Acquisition Note is now $2,460.</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 payable</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July 2012, we and our wholly-owned subsidiaries entered into a loan agreement with Deerpath Funding, LP, a Delaware limited partnership, as lender, administrative agent and collateral agent (“Deerpath”). Under the loan agreement, we borrowed $14,500 to (i) finance the cash purchase consideration for the acquisition of PeopleCube, (ii) pay outstanding indebtedness under the</w:t>
      </w:r>
    </w:p>
    <w:p>
      <w:pPr>
        <w:jc w:val="both"/>
        <w:spacing w:after="0" w:line="255" w:lineRule="auto"/>
        <w:rPr>
          <w:sz w:val="20"/>
          <w:szCs w:val="20"/>
          <w:color w:val="auto"/>
        </w:rPr>
      </w:pPr>
      <w:r>
        <w:rPr>
          <w:rFonts w:ascii="Arial" w:cs="Arial" w:eastAsia="Arial" w:hAnsi="Arial"/>
          <w:sz w:val="18"/>
          <w:szCs w:val="18"/>
          <w:color w:val="auto"/>
        </w:rPr>
        <w:t>15% Notes (including partial interest and subordination consent payments of $134 to Mr. Goepel, our Chief Executive Officer, and $81 to Pinnacle Fund, which is controlled by David Sandberg, our Chairman) and our bank line of credit, and (iii) pay transaction costs and expenses of the term loan and the acquisition of PeopleCube.</w:t>
      </w:r>
    </w:p>
    <w:p>
      <w:pPr>
        <w:spacing w:after="0" w:line="2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loan agreement also provides for a conditional commitment of additional single advance senior secured term loans from time to time in an aggregate amount not to exceed $10,000 to be used for refinancing certain other indebtedness, funding permitted acquisitions or other growth initiatives, and paying fees and expenses of the term loans and permitted acquisitions.</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30, 2013, we entered into a third amendment to our loan agreement. Under this amendment and as part of the conditional term loan commitment, we borrowed an additional $2,500 on September 30, 2013 and obtained a commitment from Deerpath to lend us an additional $1,500 on or before December 31, 2013. The third amendment increases the amount outstanding under our senior notes payable to $13,411.</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senior note payable bears interest at a floating annual rate equal to LIBOR plus 8.00%, subject to a LIBOR floor of 9.5%, or a minimum of 11.5%. It requires monthly payments of interest only and quarterly principal payments of $362 from October 1, 2012 October 1, 2013. With the additional borrowing in September 2013and beginning January 1, 2014, the quarterly principal payments will be $425 with any remaining principal due on July 1, 2016. The first amendment in March 2013 required an additional $2,000 principal payment by October 31, 2013 which we paid in May 2013. In addition, in connection with the first amendment, we paid a $240 loan amendment fee, of which $52 was recorded to interest expense and $188 was recorded as a prepaid expense that we amortizing to interest expense over the term of the note payable. In connection with the third amendment in September 2013, we recorded $110 of loan amendment fees as a prepaid expense and are amortizing this amount to interest expense over the term of the note payable. There were no fees associated with the second amendment.</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prepay all or a portion of the principal amount outstanding at any time, subject to a premium ranging from 1% to 5% of the principal amount being prepaid depending on if the prepayment occurs on or before the first, second or third anniversary of the third amendment date. The term loan requires annual mandatory prepayments beginning December 31, 2012 of outstanding principal with 75% of excess cash flow as defined in the loan agreement (such percentage to be reduced to 50% if we achieve a specified senior debt-to-EBITDA ratio) and, at Deerpath’s election, with proceeds from certain events, including 100% of the net proceeds of any asset sales and issuance of equity securities. The senior note payable is secured by a first priority lien on all of our and our subsidiaries’ assets and pledges of 100% of the equity interests in Asure’s domestic subsidiaries and 65% of the equity interests in Asure’s foreign subsidiaries.</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loan agreement contains customary covenants, which were amended effective September 30, 2013, including but not limited to limitations with respect to debt, liens, mergers and acquisitions, sale of assets, loans or advances to and investments in others, dividends or other distributions, capital expenditures and management compensation. Deerpath may designate one representative to attend all meetings of our board of directors as a non-voting observer.</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used the net proceeds from the third amendment to pay the two Legiant Acquisition Notes totaling $1,700, as well as the two related party 15% Notes totaling $800. These loans were all due in October 2014. Under the latest amendment, we also changed certain financial covenants. Beginning with September 30, 2013, our Total Debt to EBITDA Ratio may not exceed 4.75 to 1.00 (an increase from the previous requirement of 3.50 to 1.00), with levels stepping down thereafter. Our Senior Debt to EBITDA Ratio may not exceed 3.85 to 1.00 at September 30, 2013 (an increase from the previous requirement of 2.50 to 1.00), with levels stepping down thereafter. Our Fixed Charge Coverage Ratio may not be less than 0.8 to 1.00 as of September 30, 2013 (a decrease from the previous requirement of 1.00 to 1.00), with levels stepping up thereafter.</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were in compliance with the amended covenant requirements as of September 30, 2013 and expect to be in compliance or be able to obtain compliance through debt repayments with the available cash on hand or as expected to be generated from operations over the subsequent twelve month period.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loan agreement contains customary events of default, including, among others, (i) payment defaults, (ii) covenant defaults, (iii) incorrect representations or warranties, (iv) bankruptcy and insolvency events, (v) certain cross defaults and cross accelerations, (vi) certain change of control or change of management events and (vii) certain material adverse events. In some cases, the defaults are subject to customary notice and grace period provisions.</w:t>
      </w:r>
    </w:p>
    <w:p>
      <w:pPr>
        <w:sectPr>
          <w:pgSz w:w="11900" w:h="16838" w:orient="portrait"/>
          <w:cols w:equalWidth="0" w:num="1">
            <w:col w:w="11420"/>
          </w:cols>
          <w:pgMar w:left="240" w:top="122"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made principal payments of $362 on the senior note payable on each of October 1, 2012, January 1, 2013, April 1, 2013 and July 1, 2013. We paid the required $2,000 principal payment in May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September 2011, we entered into a credit agreement with JPMorgan Chase Bank N.A. (“Bank”), providing for a $500 line of credit (the “Line of Credit”), which we fully utilized as of December 31, 2011. As originally issued, the Line of Credit bore interest at a rate of 1.5% above the CB Floating Rate and matured on September 28, 2012. The CB Floating rate is defined as the Bank’s prime rate, as announced from time to time, provided that the CB Floating Rate may not be less than the adjusted one month LIBOR rate. The aggregate principal amount of advances outstanding at any one time under the Line of Credit may not exceed 80% of eligible trade accounts and accounts receivable or the maximum principal amount then available, whichever is less.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repaid the $500 outstanding under the line of credit in full in July 2012. This line expired as of December 31, 2012.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2013, we sold approximately 662,000 shares of common stock to various investors, including certain directors of the Company and other entities affiliated with the directors at a purchase price of $5.31 per share, for proceeds, net of fees and expenses, of approximately $3,435. We sold the shares pursuant to a registration statement on Form S-3 and a related prospectus supplement. We used $2,000 of the funds to make a required principal payment under our loan agreement with Deerpath Funding. We plan to use the balance of the net proceeds for general corporate purposes and repayment of additional outstanding debt.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 BASED COMPENSATION</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Asure has one active equity plan, the 2009 Equity Plan (the “2009 Plan”). The 2009 Plan provides for the issuance of non-qualified and incentive stock options to our employees and consultants. We generally grant stock options with exercise prices greater than or equal to the fair market value at the time of grant. The options generally vest over three to four years and are exercisable for a period of five to ten years beginning with date of grant. Our shareholders approved an amendment to the 2009 Plan in June 2013 to increase the number of shares reserved under the plan from 900,000 to 1,200,000. We have a total of 691,000 options granted and outstanding pursuant to the 2009 Plan as of September 30, 2013.</w:t>
      </w:r>
    </w:p>
    <w:p>
      <w:pPr>
        <w:spacing w:after="0" w:line="20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Share based compensation for our stock option plans for the three months ended September 30, 2013 and 2012 was $44 and $32, respectively, and $113 and $67 for the nine months ended September 30, 2013 and 2012, respectively. We issued 0 and 20 shares of common stock related to exercises of stock options granted from our Stock Option Plan for the three months ended September 30, 2013 and 2012, respectively.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OTHER COMPREHENSIVE INCOME (LOSS)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Comprehensive income (loss) represents a measure of all changes in equity that result from recognized transactions and other economic events other than those resulting from investments by and distributions to shareholders. Our other comprehensive income (loss) includes foreign currency translation adjustments.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changes in each component of accumulated other comprehensive income (loss), net of tax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Accumulated Other</w:t>
            </w:r>
          </w:p>
        </w:tc>
      </w:tr>
      <w:tr>
        <w:trPr>
          <w:trHeight w:val="216"/>
        </w:trPr>
        <w:tc>
          <w:tcPr>
            <w:tcW w:w="5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Comprehensive</w:t>
            </w:r>
          </w:p>
        </w:tc>
      </w:tr>
      <w:tr>
        <w:trPr>
          <w:trHeight w:val="216"/>
        </w:trPr>
        <w:tc>
          <w:tcPr>
            <w:tcW w:w="5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Foreign Currency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 (Loss)</w:t>
            </w:r>
          </w:p>
        </w:tc>
      </w:tr>
      <w:tr>
        <w:trPr>
          <w:trHeight w:val="241"/>
        </w:trPr>
        <w:tc>
          <w:tcPr>
            <w:tcW w:w="5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Items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Items</w:t>
            </w:r>
          </w:p>
        </w:tc>
        <w:tc>
          <w:tcPr>
            <w:tcW w:w="120" w:type="dxa"/>
            <w:vAlign w:val="bottom"/>
          </w:tcPr>
          <w:p>
            <w:pPr>
              <w:spacing w:after="0"/>
              <w:rPr>
                <w:sz w:val="20"/>
                <w:szCs w:val="20"/>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December 31, 2012</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2"/>
              </w:rPr>
              <w:t>Amounts reclassified from accumulated other comprehensive income</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5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current-period other comprehensive income (loss)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r>
      <w:tr>
        <w:trPr>
          <w:trHeight w:val="27"/>
        </w:trPr>
        <w:tc>
          <w:tcPr>
            <w:tcW w:w="5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 2013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0"/>
        </w:trPr>
        <w:tc>
          <w:tcPr>
            <w:tcW w:w="5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tax (expense) benefit allocated to each component of other comprehensive income (loss)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3860" w:type="dxa"/>
            <w:vAlign w:val="bottom"/>
          </w:tcPr>
          <w:p>
            <w:pPr>
              <w:spacing w:after="0"/>
              <w:rPr>
                <w:sz w:val="20"/>
                <w:szCs w:val="20"/>
                <w:color w:val="auto"/>
              </w:rPr>
            </w:pPr>
          </w:p>
        </w:tc>
        <w:tc>
          <w:tcPr>
            <w:tcW w:w="4680" w:type="dxa"/>
            <w:vAlign w:val="bottom"/>
            <w:gridSpan w:val="11"/>
          </w:tcPr>
          <w:p>
            <w:pPr>
              <w:jc w:val="center"/>
              <w:ind w:right="140"/>
              <w:spacing w:after="0"/>
              <w:rPr>
                <w:sz w:val="20"/>
                <w:szCs w:val="20"/>
                <w:color w:val="auto"/>
              </w:rPr>
            </w:pPr>
            <w:r>
              <w:rPr>
                <w:rFonts w:ascii="Arial" w:cs="Arial" w:eastAsia="Arial" w:hAnsi="Arial"/>
                <w:sz w:val="18"/>
                <w:szCs w:val="18"/>
                <w:b w:val="1"/>
                <w:bCs w:val="1"/>
                <w:color w:val="auto"/>
                <w:w w:val="90"/>
              </w:rPr>
              <w:t>Three Months Ended September 30, 2013</w:t>
            </w:r>
          </w:p>
        </w:tc>
      </w:tr>
      <w:tr>
        <w:trPr>
          <w:trHeight w:val="223"/>
        </w:trPr>
        <w:tc>
          <w:tcPr>
            <w:tcW w:w="38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Before Tax</w:t>
            </w:r>
          </w:p>
        </w:tc>
        <w:tc>
          <w:tcPr>
            <w:tcW w:w="2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Tax Benefit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Net of Tax</w:t>
            </w:r>
          </w:p>
        </w:tc>
        <w:tc>
          <w:tcPr>
            <w:tcW w:w="120" w:type="dxa"/>
            <w:vAlign w:val="bottom"/>
          </w:tcPr>
          <w:p>
            <w:pPr>
              <w:spacing w:after="0"/>
              <w:rPr>
                <w:sz w:val="19"/>
                <w:szCs w:val="19"/>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100" w:type="dxa"/>
            <w:vAlign w:val="bottom"/>
            <w:shd w:val="clear" w:color="auto" w:fill="CCEEFF"/>
          </w:tcPr>
          <w:p>
            <w:pPr>
              <w:jc w:val="right"/>
              <w:ind w:right="934"/>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r>
      <w:tr>
        <w:trPr>
          <w:trHeight w:val="223"/>
        </w:trPr>
        <w:tc>
          <w:tcPr>
            <w:tcW w:w="38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3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100" w:type="dxa"/>
            <w:vAlign w:val="bottom"/>
            <w:shd w:val="clear" w:color="auto" w:fill="CCEEFF"/>
          </w:tcPr>
          <w:p>
            <w:pPr>
              <w:jc w:val="right"/>
              <w:ind w:right="934"/>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r>
      <w:tr>
        <w:trPr>
          <w:trHeight w:val="20"/>
        </w:trPr>
        <w:tc>
          <w:tcPr>
            <w:tcW w:w="38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3860" w:type="dxa"/>
            <w:vAlign w:val="bottom"/>
          </w:tcPr>
          <w:p>
            <w:pPr>
              <w:spacing w:after="0"/>
              <w:rPr>
                <w:sz w:val="24"/>
                <w:szCs w:val="24"/>
                <w:color w:val="auto"/>
              </w:rPr>
            </w:pPr>
          </w:p>
        </w:tc>
        <w:tc>
          <w:tcPr>
            <w:tcW w:w="4680" w:type="dxa"/>
            <w:vAlign w:val="bottom"/>
            <w:gridSpan w:val="11"/>
          </w:tcPr>
          <w:p>
            <w:pPr>
              <w:jc w:val="center"/>
              <w:ind w:right="120"/>
              <w:spacing w:after="0"/>
              <w:rPr>
                <w:sz w:val="20"/>
                <w:szCs w:val="20"/>
                <w:color w:val="auto"/>
              </w:rPr>
            </w:pPr>
            <w:r>
              <w:rPr>
                <w:rFonts w:ascii="Arial" w:cs="Arial" w:eastAsia="Arial" w:hAnsi="Arial"/>
                <w:sz w:val="18"/>
                <w:szCs w:val="18"/>
                <w:b w:val="1"/>
                <w:bCs w:val="1"/>
                <w:color w:val="auto"/>
                <w:w w:val="90"/>
              </w:rPr>
              <w:t>Nine Months Ended September 30, 2013</w:t>
            </w:r>
          </w:p>
        </w:tc>
      </w:tr>
      <w:tr>
        <w:trPr>
          <w:trHeight w:val="223"/>
        </w:trPr>
        <w:tc>
          <w:tcPr>
            <w:tcW w:w="38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Before Tax</w:t>
            </w:r>
          </w:p>
        </w:tc>
        <w:tc>
          <w:tcPr>
            <w:tcW w:w="2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Tax Benefit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Net of Tax</w:t>
            </w:r>
          </w:p>
        </w:tc>
        <w:tc>
          <w:tcPr>
            <w:tcW w:w="120" w:type="dxa"/>
            <w:vAlign w:val="bottom"/>
          </w:tcPr>
          <w:p>
            <w:pPr>
              <w:spacing w:after="0"/>
              <w:rPr>
                <w:sz w:val="19"/>
                <w:szCs w:val="19"/>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r>
      <w:tr>
        <w:trPr>
          <w:trHeight w:val="223"/>
        </w:trPr>
        <w:tc>
          <w:tcPr>
            <w:tcW w:w="38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3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r>
      <w:tr>
        <w:trPr>
          <w:trHeight w:val="20"/>
        </w:trPr>
        <w:tc>
          <w:tcPr>
            <w:tcW w:w="3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NET INCOME (LOSS) PER SHARE</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compute Net Income (Loss) per Share based on the weighted average number of common shares outstanding for the period. Diluted Net Loss per Share reflects the maximum dilution that would have resulted from incremental common shares issuable upon the exercise of stock options. We compute the number of common share equivalents, which includes stock options, using the treasury stock method. We have excluded stock options to acquire 158,725 and 691,000 shares for the three and nine months ended September 30, 2013, respectively, and 693,000 shares for the three and nine months ended September 30, 2012, respectively, from the computation of the dilutive stock options because the effect of including the stock options would have been anti-dilutive.</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30, 2012, we completed a 3-for-2 stock split. All prior periods have been adjusted to reflect the impact of the stock split, including the impact on basic and diluted net loss per share.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common share for the three and nine months ended September 30, 2013 and 2012:</w:t>
      </w:r>
    </w:p>
    <w:p>
      <w:pPr>
        <w:spacing w:after="0" w:line="200" w:lineRule="exact"/>
        <w:rPr>
          <w:sz w:val="20"/>
          <w:szCs w:val="20"/>
          <w:color w:val="auto"/>
        </w:rPr>
      </w:pP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3"/>
              </w:rPr>
              <w:t>For the Three Months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Nine Months</w:t>
            </w:r>
          </w:p>
        </w:tc>
      </w:tr>
      <w:tr>
        <w:trPr>
          <w:trHeight w:val="241"/>
        </w:trPr>
        <w:tc>
          <w:tcPr>
            <w:tcW w:w="3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2"/>
              </w:rPr>
              <w:t>Ended 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ind w:left="120"/>
              <w:spacing w:after="0"/>
              <w:rPr>
                <w:sz w:val="20"/>
                <w:szCs w:val="20"/>
                <w:color w:val="auto"/>
              </w:rPr>
            </w:pPr>
            <w:r>
              <w:rPr>
                <w:rFonts w:ascii="Arial" w:cs="Arial" w:eastAsia="Arial" w:hAnsi="Arial"/>
                <w:sz w:val="18"/>
                <w:szCs w:val="18"/>
                <w:b w:val="1"/>
                <w:bCs w:val="1"/>
                <w:color w:val="auto"/>
              </w:rPr>
              <w:t>Ended September 30,</w:t>
            </w:r>
          </w:p>
        </w:tc>
      </w:tr>
      <w:tr>
        <w:trPr>
          <w:trHeight w:val="223"/>
        </w:trPr>
        <w:tc>
          <w:tcPr>
            <w:tcW w:w="3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(2,399)</w:t>
            </w:r>
          </w:p>
        </w:tc>
      </w:tr>
      <w:tr>
        <w:trPr>
          <w:trHeight w:val="216"/>
        </w:trPr>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of common</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outstanding</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5,929,000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5,245,000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5,565,000</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4,976,000</w:t>
            </w: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Dilutive effect of employee stock</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3220" w:type="dxa"/>
            <w:vAlign w:val="bottom"/>
          </w:tcPr>
          <w:p>
            <w:pPr>
              <w:ind w:left="160"/>
              <w:spacing w:after="0"/>
              <w:rPr>
                <w:sz w:val="20"/>
                <w:szCs w:val="20"/>
                <w:color w:val="auto"/>
              </w:rPr>
            </w:pPr>
            <w:r>
              <w:rPr>
                <w:rFonts w:ascii="Arial" w:cs="Arial" w:eastAsia="Arial" w:hAnsi="Arial"/>
                <w:sz w:val="18"/>
                <w:szCs w:val="18"/>
                <w:color w:val="auto"/>
              </w:rPr>
              <w:t>options</w:t>
            </w:r>
          </w:p>
        </w:tc>
        <w:tc>
          <w:tcPr>
            <w:tcW w:w="1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288,000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for diluted net</w:t>
            </w: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per share</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6,217,000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5,245,000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5,565,000</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4,976,000</w:t>
            </w: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Basic net income (loss) per share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(0.23)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(0.28)</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(0.48)</w:t>
            </w:r>
          </w:p>
        </w:tc>
      </w:tr>
      <w:tr>
        <w:trPr>
          <w:trHeight w:val="21"/>
        </w:trPr>
        <w:tc>
          <w:tcPr>
            <w:tcW w:w="3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0.02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(0.23)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(0.48)</w:t>
            </w:r>
          </w:p>
        </w:tc>
      </w:tr>
      <w:tr>
        <w:trPr>
          <w:trHeight w:val="20"/>
        </w:trPr>
        <w:tc>
          <w:tcPr>
            <w:tcW w:w="3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October 30, 2013, we used $811 of the proceeds received from the May 2013 sale of common stock to retire the Subordinated Notes Payable: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ADI – Acquisition Note in full, less a 5% discount for early payment.</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discussion and analysis of Asure’s financial position as of and for the three months and nine months ended September 30, 2013 and 2012 should be read in conjunction with our 2012 Annual Report on Form 10-K filed with the Securities and Exchange Commission. Asure’s internet website address is http://www.asuresoftware.com. Our annual reports on Form 10-K, quarterly reports on Form 10-Q, current reports on Form 8-K and amendments to those reports filed or furnished pursuant to Section 13(a) or 15(d) of the Securities Exchange Act of 1934 are available through the investor relations page of our internet website free of charge as soon as reasonably practicable after they are electronically filed, or furnished to, the Securities and Exchange Commission. Asure’s internet website and the information contained therein or connected thereto is not incorporated into this Quarterly Report on Form 10-Q.</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Asure is a leading global provider of web-based workforce management solutions that enable organizations to manage their office environment as well as their human resource and payroll processes effectively and efficiently. Our software is delivered primarily as software-as-a-service, or SaaS, and on premise. Asure markets a suite of hardware products that enable time and facility management and are fully integrated with our software offerings. We also offer a wide range of professional services for implementation and customer customization. Our revenues consist of software subscription revenue, hardware revenue, maintenance revenue, onetime software license revenue and professional services revenue.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product offerings consist of AsureSpace™ workplace management solutions that enable organizations to manage their office environments and optimize real estate utilization, and AsureForce® time and labor management solutions which help organizations optimize labor and labor administration costs and activities. We target our sales and marketing efforts to a wide range of audiences, from small and medium-sized businesses to Fortune 500 companies and divisions of enterprise organizations throughout the United States, Europe and Asia/Pacific. We generate sales of our solutions through our direct sales teams and indirectly through our channel partners. We are expanding our investment in our direct sales teams to continue to address our market opportunity.</w:t>
      </w:r>
    </w:p>
    <w:p>
      <w:pPr>
        <w:spacing w:after="0" w:line="22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 April 2012, we effected a 3-for-2 stock split. We made cash payments based upon the closing price of our shares on the record date in lieu of the issuance of fractional shares. Share and per share information in this report, including in our financial statements, reflect the impact of the stock split.</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April 11, 2013, The NASDAQ Stock Market (“NASDAQ”) notified us that we had failed to maintain a minimum market value of listed securities (“MVLS”) of $35,000,000 over the previous 30 consecutive business days as required by The NASDAQ Capital Market set forth in Listing Rule 5550(b)(2). Nasdaq also advised us in its letter that we did not meet the requirements under NASDAQ Marketplace Rule 5550(b)(1), which requires maintenance of $2.5 million of stockholders’ equity, and Rule 5550(b)(3), which requires net income from continuing operations of $500,000 or more in 2012 or in two of the three years 2010, 2011 and 2012. Under Rule 5550, we could regain compliance and avoid the potential for delisting of our common stock by satisfying any one of the minimum MVLS test, the minimum equity test or the minimum net income test. In order to meet the minimum equity requirement, we increased stockholders’ equity by selling 662,000 shares for net proceeds of $3.4 million in May 2013. On August 21, 2013, NASDAQ notified us that since the May 2013 sale of securities, which was at a discount to the then current market price, included certain officers and directors, the private placement required shareholder approval under Listing Rule 5635(c).We held a special meeting held on September 30, 2013 at which our stockholders voted to ratify this sale of shares to our officers and directors. On October 4, 2013, we received notification from NASDAQ that we have regained compliance with Listing Rule 5635(c) and Listing Rule 5550(b) and that this matter is now closed.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 Asure has attempted to identify these forward-looking statements with the words “believes,” “estimates,” “plans,” “expects,” “anticipates,” “may,” “could” and other similar expressions. Although these forward-looking statements reflect management’s current plans and expectations, which we believe are reasonable as of the filing date of this report, they inherently are subject to certain risks and uncertainties. Additionally, Asure is under no obligation to update any of the forward-looking statements after the date of this Form 10-Q to conform such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percentage of total revenues represented by certain items in Asure’s Consolidated Statements of Comprehensive Income (Loss) for the fiscal periods indicated:</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For the Three Months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For the Nine Months</w:t>
            </w:r>
          </w:p>
        </w:tc>
      </w:tr>
      <w:tr>
        <w:trPr>
          <w:trHeight w:val="241"/>
        </w:trPr>
        <w:tc>
          <w:tcPr>
            <w:tcW w:w="3480" w:type="dxa"/>
            <w:vAlign w:val="bottom"/>
          </w:tcPr>
          <w:p>
            <w:pPr>
              <w:spacing w:after="0"/>
              <w:rPr>
                <w:sz w:val="20"/>
                <w:szCs w:val="20"/>
                <w:color w:val="auto"/>
              </w:rPr>
            </w:pPr>
          </w:p>
        </w:tc>
        <w:tc>
          <w:tcPr>
            <w:tcW w:w="1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Ended September 30,</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w w:val="99"/>
              </w:rPr>
              <w:t>Ended September 30,</w:t>
            </w:r>
          </w:p>
        </w:tc>
      </w:tr>
      <w:tr>
        <w:trPr>
          <w:trHeight w:val="223"/>
        </w:trPr>
        <w:tc>
          <w:tcPr>
            <w:tcW w:w="34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76.2</w:t>
            </w:r>
          </w:p>
        </w:tc>
        <w:tc>
          <w:tcPr>
            <w:tcW w:w="58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83.5</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74.4</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78.8</w:t>
            </w: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49.7</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70.2</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60.2</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11.4</w:t>
            </w:r>
          </w:p>
        </w:tc>
        <w:tc>
          <w:tcPr>
            <w:tcW w:w="58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14.3</w:t>
            </w: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68.8</w:t>
            </w:r>
          </w:p>
        </w:tc>
        <w:tc>
          <w:tcPr>
            <w:tcW w:w="58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94.6</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73.1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82.7</w:t>
            </w: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loss, net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(5.1)</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(10.0)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(21.7)</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2013 AND 2012 (Amounts in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Revenues represent our consolidated revenues, including sales of our scheduling software, time and attendance and human resource software, complementary hardware devices to enhance our software products, software maintenance and support services, installation and training services and other professional services.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Revenues for the three months ended September 30, 2013 were $6,470, an increase of $811 or 14.3%, from the $5,659 reported for the three months ended September 30, 2012. This increase was primarily due to a $500 increase in revenues generated by PeopleCube, which we acquired in July 2012. Overall, SaaS revenues, maintenance revenues and professional services fees revenues increased $784, or 96.7% of the increase.</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Revenues for the nine months ended September 30, 2012 were $18,742, an increase of $4,725 or 33.7%, from the $14,017 reported for the nine months ended September 30, 2012. This increase was primarily due to an increase of approximately $4,500 of PeopleCube revenues, which we acquired in July 2012. Overall, SaaS revenues, maintenance revenues and professional services fees revenues increased $5,016, which represented 106% of the total increase, offset by a $371 decrease in hardware and onetime software license revenue, which represented 7.9% of the total change from prior year to date.</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Although our sales are concentrated in certain industry sectors, including corporate, education, healthcare, governmental, legal and non-profit, our total customer base is widely spread across industries. Geographically, we sell our products worldwide, but sales are largely concentrated in the United States and Canada. Additionally, Asure has a distribution partner in Australia. We continue to target small and medium size businesses and divisions of enterprises in these same industries as prospective customers. As the overall workforce management solutions market continues to experience significant growth related to SaaS products, Asure will continue to focus on sales of its Meeting Room Manager On Demand, PeopleCube and ADI SaaS products.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continuing to develop our workforce management solutions and release new software updates and enhancements, we continue to actively explore other opportunities to acquire additional products or technologies to complement our current software and services. Through acquisitions in 2011 of ADI and Legiant, we expanded our cloud computing time and attendance software and management services business. The 2012 acquisition of PeopleCube gave Asure a product line that includes software to assist customers in driving integrated facility management of offices, conference rooms, video conferencing, events and training, alternative workspaces and lobby use.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Consolidated gross margin for the three months ended September 30, 2013 was $4,928, an increase of $205, or 4.3%, from the $4.723 reported for the three months ended September 30, 2012. Gross margin as a percentage of revenues was 76.2% and 83.5% for the three months ended September 30, 2013 and 2012, respectively. Consolidated gross margin for the nine months ended September 30, 2013 was $13,941, an increase of $2,897, or 26.2%, from the $11,044 reported for the nine months ended September 30, 2012. Gross margins as a percentage of revenues were 74.4% and 78.8% for the nine months ended September 30, 2013 and 2012, respectively. We attribute the change in gross margins to a full year of ADI and Legiant revenues and the acquisition of PeopleCube in July 2012.</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Selling, general and administrative (“SG&amp;A”) expenses for the three months ended September 30, 2013 were $3,216, a decrease of $759 or 19.1%, from the $3,975 reported for the three months ended September 30, 2012. SG&amp;A expenses as a percentage of revenues were 49.7% and 70.2% for the three months ended September 30, 2013 and 2012, respectively. Most of this improvement relates to certain post-acquisition cost-savings initiatives we instituted for PeopleCube, resulting in a reduction of SG&amp;A expenses by $1,010 for the third quarter of 2013 as compared to the same period in 2012. This was offset by an increase of $243 in ADI’s SG&amp;A expenses, primarily due to an increase in sales and marketing salaries and benefits due to increased headcount and increased commissions due to increased sales in the current quarter.</w:t>
      </w:r>
    </w:p>
    <w:p>
      <w:pPr>
        <w:spacing w:after="0" w:line="20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SG&amp;A expenses for the nine months ended September 30, 2013 were $9,939, an increase of $1,496 or 17.7%, from the $8,443 reported for the nine months ended September 30, 2012. SG&amp;A expenses as a percentage of revenues were 53.0% and 60.2% for the nine months ended September 30, 2013 and 2012, respectively. The increase of $1,496 was driven by $916 of PeopleCube expenses, which business we acquired in the third quarter of 2012. Additionally ADI and Legiant’s SG&amp;A expenses increased $744 due primarily to an increase in ADI’s sales and marketing salaries and benefits due to increased headcount and increased commissions from increased sales, offset by a decrease of the remaining SG&amp;A expenses of $152.</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Throughout its operations, Asure continues to evaluate any unnecessary SG&amp;A expenses and plans to further reduce expenses as appropriate.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(“R&amp;D”) expenses for the three months ended September 30, 2013 were $736, a decrease of $73, or 9.0%, from the $809 reported for the three months ended September 30, 2012. R&amp;D expenses as a percentage of revenues were 11.4% and 14.3% for the three months ended September 30, 2013 and 2012, respectively. The R&amp;D expenses for the three months ended September 30, 2012, were slightly higher due to professional fees incurred in connection with development projects in 2012.</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(“R&amp;D”) expenses for the nine months ended September 30, 2013 were $2,100, an increase of $109, or 5.5%, from the $1,991 reported for the nine months ended September 30, 2012. R&amp;D expenses as a percentage of revenues were 11.2% and 14.2% for the nine months ended September 30, 2013 and 2012, respectively. PeopleCube, which business we acquired in the third quarter of 2012, had R&amp;D expenses of $779 as compared to $264 in the nine months ended September 30, 2013 and 2012, respectively, as well as an increase in ADI’s R&amp;D expenses of $125. These were offset by a decrease in professional fees of $319 and salaries and headcount of $125, as well as a decrease in R&amp;D expenses of $43 due to the closure of India and Canada operations in 2012.</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Asure continues to improve its products and technologies through organic improvements and through acquired intellectual property. The workforce product line continued to innovate by adding mobile solutions, world class SaaS hosting infrastructure and a proprietary time clock product set. The proprietary time clock product set includes multiple models which incorporate keypad and touch screen user interfaces, as well as proximity card, bar code card, and biometric data input. The workforce software product lines continued to evolve through quarterly feature releases and monthly maintenance releases. These product releases continued to serve client requests, and in management’s view, maintain a technological edge with competition.</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Asure continues to develop Meeting Room Manager and released in June 2012 a new version that enhanced the Microsoft Outlook Plug-in, Web and Interactive LCD interfaces, allowed assigned delegates the ability to schedule meetings on behalf of others and provided more sophisticated conflict resolution options for scheduling recurring meetings via Microsoft Outlook.</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Asure’s development efforts for future releases and enhancements are driven by feedback received from our existing and potential customers and by gauging market trends. Management believes we have the appropriate development team to design and further improve our workforce management solutions.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 in Operating Expenses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Amortization expenses for the three months ended September 30, 2013 were $497, a decrease of $76, or 13.3%, from the $573 reported for the three months ended September 30, 2012. Amortization expenses as a percentage of revenues were 7.7% and 10.1% for the three months ended September 30, 2013 and 2012, respectively. The slight decrease is due to the full amortization of some of the intangible assets acquired in the acquisition of PeopleCube in the third quarter of 2012. Amortization expenses for the nine months ended September 30, 2013 were $1,662, an increase of $504 or 43.5% compared to $1,158, reported for the nine months ended September 30, 2012. Amortization expenses as a percentage of revenues were 8.9% and 8.3% for the nine months ended September 30, 2013 and 2012, respectively. The increase in the nine months ended as compared to nine months ended September 30, 2012 is due to the amortization of intangibles acquired in the acquisition of PeopleCube in July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 provision for the three months ended September 30, 2013 was $39, a decrease of $9, or 30.0%, from the $30 income tax expense reported for the three months ended September 30, 2012.</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Income tax expense for the nine months ended September 30, 2013 was $120, a decrease of $76, or 38.8%, from the $196 reported for the nine months ended September 30, 2012, respectively. The decrease in income tax expense is due primarily to a revision in goodwill amortization.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Other expense for the three months ended September 30, 2013 was $331, a decrease of $233, or 41.3%, from the $564 reported for the three months ended September 30, 2012. Other expense as a percentage of revenues was 5.1% and 10.0% for the three months ended September 30, 2013 and 2012, respectively. This decrease is primarily due to $135 of other income recorded in connection with the early payment of the Legiant Acquisition Notes in September 2013 offset by higher amortization of OID of approximately $68 due to the early debt payoff of the Legiant Acquisition Notes and the 15% Notes. We also recorded approximately $72 as a gain on the sale of a customer list, technology and trademark which occurred in August 2013.Other expense for the three months ended September 30, 2013 is composed primarily of interest expense on notes payable of $328 and amortization of OID of $128. Other expense for the three months ended September 30, 2012 is comprised of quarterly interest on notes payable of $520 and amortization of OID and derivative mark-to-market of $60.</w:t>
      </w:r>
    </w:p>
    <w:p>
      <w:pPr>
        <w:spacing w:after="0" w:line="219" w:lineRule="exact"/>
        <w:rPr>
          <w:sz w:val="20"/>
          <w:szCs w:val="20"/>
          <w:color w:val="auto"/>
        </w:rPr>
      </w:pPr>
    </w:p>
    <w:p>
      <w:pPr>
        <w:jc w:val="both"/>
        <w:ind w:firstLine="693"/>
        <w:spacing w:after="0" w:line="255" w:lineRule="auto"/>
        <w:rPr>
          <w:sz w:val="20"/>
          <w:szCs w:val="20"/>
          <w:color w:val="auto"/>
        </w:rPr>
      </w:pPr>
      <w:r>
        <w:rPr>
          <w:rFonts w:ascii="Arial" w:cs="Arial" w:eastAsia="Arial" w:hAnsi="Arial"/>
          <w:sz w:val="18"/>
          <w:szCs w:val="18"/>
          <w:color w:val="auto"/>
        </w:rPr>
        <w:t>Other expense for the nine months ended September 30, 2013 was $1,680, an increase of $25, or 1.5%, from the $1,655 reported for the nine months ended September 30, 2012. Other expense as a percentage of revenues was 9.0% and 11.8% for the nine months ended September 30, 2013 and 2012, respectively. Other expense for the nine months ended September 30, 2013 is composed primarily of interest expense on notes payable of $1,378 and amortization of OID of $403. Other expense for the nine months ended September 30, 2012 is comprised of quarterly interest on notes payable of $759, amortization of OID and derivative mark-to-market of $651, and $198 loss on debt conversion recorded in the first quarter of 2012 upon conversion of the 9% Notes.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generated net income of $109, or $0.02 per share, during the three months ended September 30, 2013, compared to a net loss of $1,228 or $(0.23) per share reported for the three months ended September 30, 2012. Net income (loss) as a percentage of total revenues was 1.7% for the three months ended September 30, 2013 compared to net loss of 21.7% of total revenues for the three months ended September 30, 2012.</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generated a net loss of $1,560, or $(0.28) per share, during the nine months ended September 30, 2013, compared to a net loss of $2,399 or $(0.48) per share reported for the nine months ended September 30, 2012. Net loss as a percentage of total revenues was 8.3% for the nine months ended September 30, 2013 compared to net loss of 17.1% of total revenues for the nine months ended September 30, 2012.</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intend to continue to implement our corporate strategy for growing the software and services business by modestly investing in areas that directly generate revenue and positive cash flows for Asure. However, uncertainties and challenges remain, especially during a macroeconomic environment downturn, and there can be no assurance that we can successfully grow our revenues or achieve profitability during the remainder of fiscal year 2013.</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59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4"/>
          </w:tcPr>
          <w:p>
            <w:pPr>
              <w:jc w:val="right"/>
              <w:ind w:right="275"/>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100" w:type="dxa"/>
            <w:vAlign w:val="bottom"/>
            <w:gridSpan w:val="5"/>
          </w:tcPr>
          <w:p>
            <w:pPr>
              <w:jc w:val="center"/>
              <w:ind w:right="350"/>
              <w:spacing w:after="0"/>
              <w:rPr>
                <w:sz w:val="20"/>
                <w:szCs w:val="20"/>
                <w:color w:val="auto"/>
              </w:rPr>
            </w:pPr>
            <w:r>
              <w:rPr>
                <w:rFonts w:ascii="Arial" w:cs="Arial" w:eastAsia="Arial" w:hAnsi="Arial"/>
                <w:sz w:val="17"/>
                <w:szCs w:val="17"/>
                <w:b w:val="1"/>
                <w:bCs w:val="1"/>
                <w:color w:val="auto"/>
                <w:w w:val="71"/>
              </w:rPr>
              <w:t>thousands)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(6,448)</w:t>
            </w:r>
          </w:p>
        </w:tc>
        <w:tc>
          <w:tcPr>
            <w:tcW w:w="940" w:type="dxa"/>
            <w:vAlign w:val="bottom"/>
            <w:gridSpan w:val="3"/>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(9,251)</w:t>
            </w:r>
          </w:p>
        </w:tc>
      </w:tr>
      <w:tr>
        <w:trPr>
          <w:trHeight w:val="230"/>
        </w:trPr>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2,177</w:t>
            </w:r>
          </w:p>
        </w:tc>
        <w:tc>
          <w:tcPr>
            <w:tcW w:w="120" w:type="dxa"/>
            <w:vAlign w:val="bottom"/>
          </w:tcPr>
          <w:p>
            <w:pPr>
              <w:spacing w:after="0"/>
              <w:rPr>
                <w:sz w:val="20"/>
                <w:szCs w:val="20"/>
                <w:color w:val="auto"/>
              </w:rPr>
            </w:pPr>
          </w:p>
        </w:tc>
      </w:tr>
      <w:tr>
        <w:trPr>
          <w:trHeight w:val="400"/>
        </w:trPr>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For the Nine Months Ended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35"/>
              <w:spacing w:after="0"/>
              <w:rPr>
                <w:sz w:val="20"/>
                <w:szCs w:val="20"/>
                <w:color w:val="auto"/>
              </w:rPr>
            </w:pPr>
            <w:r>
              <w:rPr>
                <w:rFonts w:ascii="Arial" w:cs="Arial" w:eastAsia="Arial" w:hAnsi="Arial"/>
                <w:sz w:val="18"/>
                <w:szCs w:val="18"/>
                <w:b w:val="1"/>
                <w:bCs w:val="1"/>
                <w:color w:val="auto"/>
              </w:rPr>
              <w:t>(in</w:t>
            </w:r>
          </w:p>
        </w:tc>
        <w:tc>
          <w:tcPr>
            <w:tcW w:w="1080" w:type="dxa"/>
            <w:vAlign w:val="bottom"/>
            <w:gridSpan w:val="4"/>
          </w:tcPr>
          <w:p>
            <w:pPr>
              <w:jc w:val="center"/>
              <w:ind w:right="330"/>
              <w:spacing w:after="0"/>
              <w:rPr>
                <w:sz w:val="20"/>
                <w:szCs w:val="20"/>
                <w:color w:val="auto"/>
              </w:rPr>
            </w:pPr>
            <w:r>
              <w:rPr>
                <w:rFonts w:ascii="Arial" w:cs="Arial" w:eastAsia="Arial" w:hAnsi="Arial"/>
                <w:sz w:val="17"/>
                <w:szCs w:val="17"/>
                <w:b w:val="1"/>
                <w:bCs w:val="1"/>
                <w:color w:val="auto"/>
                <w:w w:val="71"/>
              </w:rPr>
              <w:t>thousands)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55"/>
              <w:spacing w:after="0"/>
              <w:rPr>
                <w:sz w:val="20"/>
                <w:szCs w:val="20"/>
                <w:color w:val="auto"/>
              </w:rPr>
            </w:pPr>
            <w:r>
              <w:rPr>
                <w:rFonts w:ascii="Arial" w:cs="Arial" w:eastAsia="Arial" w:hAnsi="Arial"/>
                <w:sz w:val="18"/>
                <w:szCs w:val="18"/>
                <w:color w:val="auto"/>
              </w:rPr>
              <w:t>1,179</w:t>
            </w:r>
          </w:p>
        </w:tc>
        <w:tc>
          <w:tcPr>
            <w:tcW w:w="940" w:type="dxa"/>
            <w:vAlign w:val="bottom"/>
            <w:gridSpan w:val="3"/>
            <w:shd w:val="clear" w:color="auto" w:fill="CCEEFF"/>
          </w:tcPr>
          <w:p>
            <w:pPr>
              <w:jc w:val="center"/>
              <w:ind w:right="550"/>
              <w:spacing w:after="0"/>
              <w:rPr>
                <w:sz w:val="20"/>
                <w:szCs w:val="20"/>
                <w:color w:val="auto"/>
              </w:rPr>
            </w:pPr>
            <w:r>
              <w:rPr>
                <w:rFonts w:ascii="Arial" w:cs="Arial" w:eastAsia="Arial" w:hAnsi="Arial"/>
                <w:sz w:val="18"/>
                <w:szCs w:val="18"/>
                <w:color w:val="auto"/>
                <w:w w:val="99"/>
              </w:rPr>
              <w:t>$</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1,871</w:t>
            </w: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(9,895)</w:t>
            </w: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9,677</w:t>
            </w:r>
          </w:p>
        </w:tc>
      </w:tr>
    </w:tbl>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Working capital deficit was ($6,448) on September 30, 2013, a decrease of $2,803 from $(9,251) on December 31, 2012. The change in the working capital deficit was due to an increase in cash and cash equivalents of $929, a decrease in the current portion of notes payable of $1,485, as well as a decrease in accounts payable of $1,003, offset by an increase in accrued compensation and benefits of $368. These changes are primarily attributable to the sale of common stock in May 2013 for proceeds net of fees and expenses of approximately $3,400, the additional borrowing on our Deerpath note of $2,500 and subsequent payoff of the Legiant Acquisition Notes and the 15% Notes in September 2013, as well as the acquisition of PeopleCube in July 2012.</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provided by operating activities was $1,179 for the nine months ended September 30, 2013 primarily due to the net loss of $(1,560) which was offset by depreciation and amortization of $2,234, an increase in accrued expenses and deferred revenue of $1,716. Cash provided by operating activities was $1,871 for the nine months ended September 30, 2012 primarily due to a loss of ($2,399) which was offset by the non-cash loss on debt conversion of $198, depreciation and amortization of $1,574, interest expense on amortization of OID and derivative mark-to-market of $651, and an increase in deferred revenues of $877.</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investing activities was $143 for the nine months ended September 30, 2013 due to net purchases of property. Cash used in investing activities was $9,895 for the nine months ended September 30, 2012 due to the acquisition of PeopleCube of $9,800 and net purchases of property and equipment of $167 which was offset by collection of notes receivable for $72.</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used in financing activities was $121 for the nine months ended September 30, 2013. This consisted of the sale of common stock of $3,435 and proceeds from notes payable of $2,500 offset by payments on notes payable of $5,707 and payments on capital leases of $64. Cash used in financing activities was $9,677 for the nine months ended September 30, 2012 which was primarily related to the proceeds from notes payable of $14,500 for the PeopleCube acquisition, exercise of options for $15 offset by payments on conversion of subordinated notes payable of $222 and payments on capital leases of $21 and notes payable of $3,415.</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lease office space and equipment under non-cancelable operating leases that expire at various dates through 2016. Certain leases obligate Asure to pay property taxes, maintenance and insurance and include escalation clauses. Approximately $699, or 50.0% of our total operating lease obligations, relate to our corporate office facility at Wild Basin in Austin, Texas.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2013, Asure’s principal source of liquidity consisted of approximately $3,106 of current cash and cash equivalents as well as future cash generated from operations. Subject to the matters discussed below, we believe that we currently have and/or will generate sufficient cash for our operational needs, including any required debt payments, for at least the next twelve months. We continue to reduce expenses and may utilize some of our cash balances in the short-term to reduce our long-term costs. We currently project that we can generate positive cash flows from our operating activities in 2013.</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team is focused on growing our existing product offering as well as our customer base to increase our recurring customer revenues and is also seeking additional strategic acquisitions for the near future, although we have no current agreements to acquire any technology or business. At present, we plan to fund any future acquisition with equity, existing cash, cash generated from future operations and/or cash or debt raised from outside sources.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Management believes that we have sufficient capital and liquidity to fund and cultivate the growth of our current and future operations for at least the next 12 months and to maintain compliance with the terms of our debt agreements and related covenants or to obtain compliance through debt repayments made with the available cash on hand or as projected for receipt in the course of our operations. .</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material changes to our critical accounting policies and estimates since December 31, 2012. For additional information on critical accounting policies, refer to “Management’s Discussion and Analysis” in our 2012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under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us. 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as of September 30, 2013 to provide reasonable assurance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period ended September 30, 2013, there were no changes in our internal control over financial reporting that have materially affected, or are reasonably likely to materially affect, our internal control over financial reporting.</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December 2012, we demanded a purchase price adjustment from PeopleCube Holding B.V. and Meeting Maker Holding B.V., the sellers of the capital stock of Meeting Maker – United States, Inc. (dba PeopleCube) that we purchased in July 2012, based on matters we discovered after closing. Both parties agreed for the post-closing adjustment to be resolved by an independent accountant consistent with the purchase agreement. In January 2013, we filed a claim in federal court in Texas seeking to compel the sellers to comply with the working capital adjustment process. The sellers simultaneously filed a claim in the state court of Massachusetts alleging that we did not comply with the working capital adjustment process. Our claim was amended in April 2013 to add contractual indemnification claims for the sellers’ breach of warranties and representations made in the purchase agreement. In May 2013, the sellers amended their original complaint to allege misrepresentations and omissions by us in connection with the purchase transaction. The sellers seek an unspecified amount of damages and the trebling of such damages once calculated. We have filed a counterclaim in Massachusetts for contractual indemnification claims for the sellers’ breach of their warranties and representations.</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2013, we reached an agreement (based upon the determination by the independent accountant) to settle our purchase price post-closing adjustment dispute with the sellers. The parties agreed to a post-closing adjustment due to us with accrued interest of $540,000. The parties agreed to reduce the original $3.0 million deferred purchase payment by the post-closing adjustment amount. This also had the effect of reducing our long-term debt by a like amount. The remaining deferred purchase price balance is now $2,460,000.</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parties also agreed to dismiss the litigation and claims in Texas in favor of consolidating all remaining disputes in the Massachusetts state court. We will continue to seek contractual indemnification for the sellers’ breach of warranties and representations made in the purchase agreement in Massachusetts as a counterclaim to the sellers’ complaint. The litigation is currently in discovery. We continue to believe that the sellers' claims for damages against us are without merit and are continuing to defend them vigorously.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19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3"/>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9"/>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auto"/>
            </w:tcBorders>
            <w:gridSpan w:val="3"/>
          </w:tcPr>
          <w:p>
            <w:pPr>
              <w:ind w:left="40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26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060" w:type="dxa"/>
            <w:vAlign w:val="bottom"/>
            <w:gridSpan w:val="2"/>
          </w:tcPr>
          <w:p>
            <w:pPr>
              <w:spacing w:after="0"/>
              <w:rPr>
                <w:sz w:val="15"/>
                <w:szCs w:val="15"/>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060" w:type="dxa"/>
            <w:vAlign w:val="bottom"/>
            <w:gridSpan w:val="2"/>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0000EE"/>
                <w:w w:val="96"/>
              </w:rPr>
              <w:t>Certification pursuant to 18 U.S.C. Section 1350, as adopted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0000EE"/>
                <w:w w:val="96"/>
              </w:rPr>
              <w:t>Certification pursuant to 18 U.S.C. Section 1350, as adopted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38"/>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w w:val="92"/>
              </w:rPr>
              <w:t>The following materials from Asure Software, Inc.’s Quarterly Report on Form 10-Q for the quarter ended September 30, 2013,</w:t>
            </w:r>
          </w:p>
        </w:tc>
      </w:tr>
      <w:tr>
        <w:trPr>
          <w:trHeight w:val="230"/>
        </w:trPr>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w w:val="97"/>
              </w:rPr>
              <w:t>formatted in XBRL (Extensible Business Reporting Language): (1) the Condensed Consolidated Balance Sheets, (2) the</w:t>
            </w:r>
          </w:p>
        </w:tc>
      </w:tr>
    </w:tbl>
    <w:p>
      <w:pPr>
        <w:ind w:left="2080" w:right="40"/>
        <w:spacing w:after="0" w:line="261" w:lineRule="auto"/>
        <w:rPr>
          <w:sz w:val="20"/>
          <w:szCs w:val="20"/>
          <w:color w:val="auto"/>
        </w:rPr>
      </w:pPr>
      <w:r>
        <w:rPr>
          <w:rFonts w:ascii="Arial" w:cs="Arial" w:eastAsia="Arial" w:hAnsi="Arial"/>
          <w:sz w:val="18"/>
          <w:szCs w:val="18"/>
          <w:color w:val="auto"/>
        </w:rPr>
        <w:t>Condensed Consolidated Statements of Comprehensive Income (Loss), (3) the Condensed Consolidated Statements of Cash Flows, and (4) Notes to Consolidated Financial Statements, tagged as blocks of text.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5100" w:type="dxa"/>
            <w:vAlign w:val="bottom"/>
            <w:gridSpan w:val="2"/>
          </w:tcPr>
          <w:p>
            <w:pPr>
              <w:ind w:left="1040"/>
              <w:spacing w:after="0"/>
              <w:rPr>
                <w:sz w:val="20"/>
                <w:szCs w:val="20"/>
                <w:color w:val="auto"/>
              </w:rPr>
            </w:pPr>
            <w:r>
              <w:rPr>
                <w:rFonts w:ascii="Arial" w:cs="Arial" w:eastAsia="Arial" w:hAnsi="Arial"/>
                <w:sz w:val="18"/>
                <w:szCs w:val="18"/>
                <w:b w:val="1"/>
                <w:bCs w:val="1"/>
                <w:color w:val="auto"/>
              </w:rPr>
              <w:t>ASURE SOFTWARE, INC.</w:t>
            </w:r>
          </w:p>
        </w:tc>
        <w:tc>
          <w:tcPr>
            <w:tcW w:w="3820" w:type="dxa"/>
            <w:vAlign w:val="bottom"/>
          </w:tcPr>
          <w:p>
            <w:pPr>
              <w:spacing w:after="0"/>
              <w:rPr>
                <w:sz w:val="20"/>
                <w:szCs w:val="20"/>
                <w:color w:val="auto"/>
              </w:rPr>
            </w:pPr>
          </w:p>
        </w:tc>
      </w:tr>
      <w:tr>
        <w:trPr>
          <w:trHeight w:val="655"/>
        </w:trPr>
        <w:tc>
          <w:tcPr>
            <w:tcW w:w="2500" w:type="dxa"/>
            <w:vAlign w:val="bottom"/>
          </w:tcPr>
          <w:p>
            <w:pPr>
              <w:spacing w:after="0"/>
              <w:rPr>
                <w:sz w:val="20"/>
                <w:szCs w:val="20"/>
                <w:color w:val="auto"/>
              </w:rPr>
            </w:pPr>
            <w:r>
              <w:rPr>
                <w:rFonts w:ascii="Arial" w:cs="Arial" w:eastAsia="Arial" w:hAnsi="Arial"/>
                <w:sz w:val="18"/>
                <w:szCs w:val="18"/>
                <w:color w:val="auto"/>
              </w:rPr>
              <w:t>November 13, 2013</w:t>
            </w:r>
          </w:p>
        </w:tc>
        <w:tc>
          <w:tcPr>
            <w:tcW w:w="5100" w:type="dxa"/>
            <w:vAlign w:val="bottom"/>
            <w:gridSpan w:val="2"/>
          </w:tcPr>
          <w:p>
            <w:pPr>
              <w:ind w:left="1040"/>
              <w:spacing w:after="0"/>
              <w:rPr>
                <w:sz w:val="20"/>
                <w:szCs w:val="20"/>
                <w:color w:val="auto"/>
              </w:rPr>
            </w:pPr>
            <w:r>
              <w:rPr>
                <w:rFonts w:ascii="Arial" w:cs="Arial" w:eastAsia="Arial" w:hAnsi="Arial"/>
                <w:sz w:val="18"/>
                <w:szCs w:val="18"/>
                <w:color w:val="auto"/>
              </w:rPr>
              <w:t>By: /s/ PATRICK GOEPEL</w:t>
            </w:r>
          </w:p>
        </w:tc>
        <w:tc>
          <w:tcPr>
            <w:tcW w:w="3820" w:type="dxa"/>
            <w:vAlign w:val="bottom"/>
          </w:tcPr>
          <w:p>
            <w:pPr>
              <w:spacing w:after="0"/>
              <w:rPr>
                <w:sz w:val="24"/>
                <w:szCs w:val="24"/>
                <w:color w:val="auto"/>
              </w:rPr>
            </w:pPr>
          </w:p>
        </w:tc>
      </w:tr>
      <w:tr>
        <w:trPr>
          <w:trHeight w:val="202"/>
        </w:trPr>
        <w:tc>
          <w:tcPr>
            <w:tcW w:w="2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Patrick Goepel</w:t>
            </w:r>
          </w:p>
        </w:tc>
        <w:tc>
          <w:tcPr>
            <w:tcW w:w="3820" w:type="dxa"/>
            <w:vAlign w:val="bottom"/>
          </w:tcPr>
          <w:p>
            <w:pPr>
              <w:spacing w:after="0"/>
              <w:rPr>
                <w:sz w:val="17"/>
                <w:szCs w:val="17"/>
                <w:color w:val="auto"/>
              </w:rPr>
            </w:pPr>
          </w:p>
        </w:tc>
      </w:tr>
      <w:tr>
        <w:trPr>
          <w:trHeight w:val="230"/>
        </w:trPr>
        <w:tc>
          <w:tcPr>
            <w:tcW w:w="2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820" w:type="dxa"/>
            <w:vAlign w:val="bottom"/>
          </w:tcPr>
          <w:p>
            <w:pPr>
              <w:spacing w:after="0"/>
              <w:rPr>
                <w:sz w:val="20"/>
                <w:szCs w:val="20"/>
                <w:color w:val="auto"/>
              </w:rPr>
            </w:pPr>
          </w:p>
        </w:tc>
      </w:tr>
      <w:tr>
        <w:trPr>
          <w:trHeight w:val="439"/>
        </w:trPr>
        <w:tc>
          <w:tcPr>
            <w:tcW w:w="2500" w:type="dxa"/>
            <w:vAlign w:val="bottom"/>
          </w:tcPr>
          <w:p>
            <w:pPr>
              <w:spacing w:after="0"/>
              <w:rPr>
                <w:sz w:val="20"/>
                <w:szCs w:val="20"/>
                <w:color w:val="auto"/>
              </w:rPr>
            </w:pPr>
            <w:r>
              <w:rPr>
                <w:rFonts w:ascii="Arial" w:cs="Arial" w:eastAsia="Arial" w:hAnsi="Arial"/>
                <w:sz w:val="18"/>
                <w:szCs w:val="18"/>
                <w:color w:val="auto"/>
              </w:rPr>
              <w:t>November 13, 2013</w:t>
            </w:r>
          </w:p>
        </w:tc>
        <w:tc>
          <w:tcPr>
            <w:tcW w:w="5100" w:type="dxa"/>
            <w:vAlign w:val="bottom"/>
            <w:gridSpan w:val="2"/>
          </w:tcPr>
          <w:p>
            <w:pPr>
              <w:ind w:left="1040"/>
              <w:spacing w:after="0"/>
              <w:rPr>
                <w:sz w:val="20"/>
                <w:szCs w:val="20"/>
                <w:color w:val="auto"/>
              </w:rPr>
            </w:pPr>
            <w:r>
              <w:rPr>
                <w:rFonts w:ascii="Arial" w:cs="Arial" w:eastAsia="Arial" w:hAnsi="Arial"/>
                <w:sz w:val="18"/>
                <w:szCs w:val="18"/>
                <w:color w:val="auto"/>
              </w:rPr>
              <w:t>By: /s/ JENNIFER CROW</w:t>
            </w:r>
          </w:p>
        </w:tc>
        <w:tc>
          <w:tcPr>
            <w:tcW w:w="3820" w:type="dxa"/>
            <w:vAlign w:val="bottom"/>
          </w:tcPr>
          <w:p>
            <w:pPr>
              <w:spacing w:after="0"/>
              <w:rPr>
                <w:sz w:val="24"/>
                <w:szCs w:val="24"/>
                <w:color w:val="auto"/>
              </w:rPr>
            </w:pPr>
          </w:p>
        </w:tc>
      </w:tr>
      <w:tr>
        <w:trPr>
          <w:trHeight w:val="202"/>
        </w:trPr>
        <w:tc>
          <w:tcPr>
            <w:tcW w:w="2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Jennifer Crow</w:t>
            </w:r>
          </w:p>
        </w:tc>
        <w:tc>
          <w:tcPr>
            <w:tcW w:w="3820" w:type="dxa"/>
            <w:vAlign w:val="bottom"/>
          </w:tcPr>
          <w:p>
            <w:pPr>
              <w:spacing w:after="0"/>
              <w:rPr>
                <w:sz w:val="17"/>
                <w:szCs w:val="17"/>
                <w:color w:val="auto"/>
              </w:rPr>
            </w:pPr>
          </w:p>
        </w:tc>
      </w:tr>
      <w:tr>
        <w:trPr>
          <w:trHeight w:val="230"/>
        </w:trPr>
        <w:tc>
          <w:tcPr>
            <w:tcW w:w="2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820" w:type="dxa"/>
            <w:vAlign w:val="bottom"/>
          </w:tcPr>
          <w:p>
            <w:pPr>
              <w:spacing w:after="0"/>
              <w:rPr>
                <w:sz w:val="20"/>
                <w:szCs w:val="20"/>
                <w:color w:val="auto"/>
              </w:rPr>
            </w:pPr>
          </w:p>
        </w:tc>
      </w:tr>
      <w:tr>
        <w:trPr>
          <w:trHeight w:val="797"/>
        </w:trPr>
        <w:tc>
          <w:tcPr>
            <w:tcW w:w="2500" w:type="dxa"/>
            <w:vAlign w:val="bottom"/>
          </w:tcPr>
          <w:p>
            <w:pPr>
              <w:spacing w:after="0"/>
              <w:rPr>
                <w:sz w:val="24"/>
                <w:szCs w:val="24"/>
                <w:color w:val="auto"/>
              </w:rPr>
            </w:pPr>
          </w:p>
        </w:tc>
        <w:tc>
          <w:tcPr>
            <w:tcW w:w="5100" w:type="dxa"/>
            <w:vAlign w:val="bottom"/>
            <w:gridSpan w:val="2"/>
          </w:tcPr>
          <w:p>
            <w:pPr>
              <w:jc w:val="right"/>
              <w:ind w:right="1710"/>
              <w:spacing w:after="0"/>
              <w:rPr>
                <w:sz w:val="20"/>
                <w:szCs w:val="20"/>
                <w:color w:val="auto"/>
              </w:rPr>
            </w:pPr>
            <w:r>
              <w:rPr>
                <w:rFonts w:ascii="Arial" w:cs="Arial" w:eastAsia="Arial" w:hAnsi="Arial"/>
                <w:sz w:val="18"/>
                <w:szCs w:val="18"/>
                <w:color w:val="auto"/>
              </w:rPr>
              <w:t>28</w:t>
            </w:r>
          </w:p>
        </w:tc>
        <w:tc>
          <w:tcPr>
            <w:tcW w:w="3820" w:type="dxa"/>
            <w:vAlign w:val="bottom"/>
          </w:tcPr>
          <w:p>
            <w:pPr>
              <w:spacing w:after="0"/>
              <w:rPr>
                <w:sz w:val="24"/>
                <w:szCs w:val="24"/>
                <w:color w:val="auto"/>
              </w:rPr>
            </w:pPr>
          </w:p>
        </w:tc>
      </w:tr>
      <w:tr>
        <w:trPr>
          <w:trHeight w:val="118"/>
        </w:trPr>
        <w:tc>
          <w:tcPr>
            <w:tcW w:w="25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19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3"/>
          </w:tcPr>
          <w:p>
            <w:pPr>
              <w:ind w:left="2720"/>
              <w:spacing w:after="0"/>
              <w:rPr>
                <w:sz w:val="20"/>
                <w:szCs w:val="20"/>
                <w:color w:val="auto"/>
              </w:rPr>
            </w:pPr>
            <w:r>
              <w:rPr>
                <w:rFonts w:ascii="Arial" w:cs="Arial" w:eastAsia="Arial" w:hAnsi="Arial"/>
                <w:sz w:val="18"/>
                <w:szCs w:val="18"/>
                <w:b w:val="1"/>
                <w:bCs w:val="1"/>
                <w:color w:val="auto"/>
              </w:rPr>
              <w:t>INDEX TO EXHIBITS</w:t>
            </w:r>
          </w:p>
        </w:tc>
      </w:tr>
      <w:tr>
        <w:trPr>
          <w:trHeight w:val="439"/>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auto"/>
            </w:tcBorders>
            <w:gridSpan w:val="3"/>
          </w:tcPr>
          <w:p>
            <w:pPr>
              <w:ind w:left="40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26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060" w:type="dxa"/>
            <w:vAlign w:val="bottom"/>
            <w:gridSpan w:val="2"/>
          </w:tcPr>
          <w:p>
            <w:pPr>
              <w:spacing w:after="0"/>
              <w:rPr>
                <w:sz w:val="15"/>
                <w:szCs w:val="15"/>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060" w:type="dxa"/>
            <w:vAlign w:val="bottom"/>
            <w:gridSpan w:val="2"/>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0000EE"/>
                <w:w w:val="96"/>
              </w:rPr>
              <w:t>Certification pursuant to 18 U.S.C. Section 1350, as adopted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0000EE"/>
                <w:w w:val="96"/>
              </w:rPr>
              <w:t>Certification pursuant to 18 U.S.C. Section 1350, as adopted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w w:val="92"/>
              </w:rPr>
              <w:t>The following materials from Asure Software, Inc.’s Quarterly Report on Form 10-Q for the quarter ended September 30, 2013,</w:t>
            </w:r>
          </w:p>
        </w:tc>
      </w:tr>
    </w:tbl>
    <w:p>
      <w:pPr>
        <w:jc w:val="both"/>
        <w:ind w:left="2080" w:right="40"/>
        <w:spacing w:after="0" w:line="255" w:lineRule="auto"/>
        <w:rPr>
          <w:sz w:val="20"/>
          <w:szCs w:val="20"/>
          <w:color w:val="auto"/>
        </w:rPr>
      </w:pPr>
      <w:r>
        <w:rPr>
          <w:rFonts w:ascii="Arial" w:cs="Arial" w:eastAsia="Arial" w:hAnsi="Arial"/>
          <w:sz w:val="18"/>
          <w:szCs w:val="18"/>
          <w:color w:val="auto"/>
        </w:rPr>
        <w:t>formatted in XBRL (Extensible Business Reporting Language): (1) the Condensed Consolidated Balance Sheets, (2) the Condensed Consolidated Statements of Comprehensive Income (Loss), (3) the Condensed Consolidated Statements of Cash Flows, and (4) Notes to Consolidated Financial Statements, tagged as blocks of text.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Patrick Goepel, certify, that:</w:t>
      </w:r>
    </w:p>
    <w:p>
      <w:pPr>
        <w:spacing w:after="0" w:line="225" w:lineRule="exact"/>
        <w:rPr>
          <w:sz w:val="20"/>
          <w:szCs w:val="20"/>
          <w:color w:val="auto"/>
        </w:rPr>
      </w:pPr>
    </w:p>
    <w:p>
      <w:pPr>
        <w:ind w:left="520" w:hanging="188"/>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5" w:lineRule="exact"/>
        <w:rPr>
          <w:rFonts w:ascii="Arial" w:cs="Arial" w:eastAsia="Arial" w:hAnsi="Arial"/>
          <w:sz w:val="18"/>
          <w:szCs w:val="18"/>
          <w:color w:val="auto"/>
        </w:rPr>
      </w:pPr>
    </w:p>
    <w:p>
      <w:pPr>
        <w:ind w:right="20" w:firstLine="332"/>
        <w:spacing w:after="0" w:line="342" w:lineRule="auto"/>
        <w:tabs>
          <w:tab w:leader="none" w:pos="519"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1"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4" w:val="left"/>
        </w:tabs>
        <w:numPr>
          <w:ilvl w:val="1"/>
          <w:numId w:val="2"/>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4"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September 30, 2013)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firstLine="332"/>
        <w:spacing w:after="0" w:line="277" w:lineRule="auto"/>
        <w:tabs>
          <w:tab w:leader="none" w:pos="51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3740" w:val="left"/>
          <w:tab w:leader="none" w:pos="4240" w:val="left"/>
        </w:tabs>
        <w:rPr>
          <w:sz w:val="20"/>
          <w:szCs w:val="20"/>
          <w:color w:val="auto"/>
        </w:rPr>
      </w:pPr>
      <w:r>
        <w:rPr>
          <w:rFonts w:ascii="Arial" w:cs="Arial" w:eastAsia="Arial" w:hAnsi="Arial"/>
          <w:sz w:val="18"/>
          <w:szCs w:val="18"/>
          <w:color w:val="auto"/>
        </w:rPr>
        <w:t>Date: November 13,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14605</wp:posOffset>
            </wp:positionV>
            <wp:extent cx="264160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41600" cy="17145"/>
                    </a:xfrm>
                    <a:prstGeom prst="rect">
                      <a:avLst/>
                    </a:prstGeom>
                    <a:noFill/>
                  </pic:spPr>
                </pic:pic>
              </a:graphicData>
            </a:graphic>
          </wp:anchor>
        </w:drawing>
      </w:r>
    </w:p>
    <w:p>
      <w:pPr>
        <w:spacing w:after="0" w:line="1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Jennifer Crow, certify that:</w:t>
      </w:r>
    </w:p>
    <w:p>
      <w:pPr>
        <w:spacing w:after="0" w:line="225" w:lineRule="exact"/>
        <w:rPr>
          <w:sz w:val="20"/>
          <w:szCs w:val="20"/>
          <w:color w:val="auto"/>
        </w:rPr>
      </w:pPr>
    </w:p>
    <w:p>
      <w:pPr>
        <w:ind w:left="520" w:hanging="188"/>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5" w:lineRule="exact"/>
        <w:rPr>
          <w:rFonts w:ascii="Arial" w:cs="Arial" w:eastAsia="Arial" w:hAnsi="Arial"/>
          <w:sz w:val="18"/>
          <w:szCs w:val="18"/>
          <w:color w:val="auto"/>
        </w:rPr>
      </w:pPr>
    </w:p>
    <w:p>
      <w:pPr>
        <w:ind w:right="20" w:firstLine="332"/>
        <w:spacing w:after="0" w:line="342" w:lineRule="auto"/>
        <w:tabs>
          <w:tab w:leader="none" w:pos="519"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1"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4" w:val="left"/>
        </w:tabs>
        <w:numPr>
          <w:ilvl w:val="1"/>
          <w:numId w:val="3"/>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4"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September 30, 2013)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firstLine="332"/>
        <w:spacing w:after="0" w:line="277" w:lineRule="auto"/>
        <w:tabs>
          <w:tab w:leader="none" w:pos="51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3740" w:val="left"/>
          <w:tab w:leader="none" w:pos="4900" w:val="left"/>
        </w:tabs>
        <w:rPr>
          <w:sz w:val="20"/>
          <w:szCs w:val="20"/>
          <w:color w:val="auto"/>
        </w:rPr>
      </w:pPr>
      <w:r>
        <w:rPr>
          <w:rFonts w:ascii="Arial" w:cs="Arial" w:eastAsia="Arial" w:hAnsi="Arial"/>
          <w:sz w:val="18"/>
          <w:szCs w:val="18"/>
          <w:color w:val="auto"/>
        </w:rPr>
        <w:t>Date: November 13,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306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Jennifer Crow</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Patrick Goepel, do hereby certify, pursuant to 18 U.S.C. Section 1350, as adopted by Section 906 of the Sarbanes-Oxley Act of 2002, that:</w:t>
      </w:r>
    </w:p>
    <w:p>
      <w:pPr>
        <w:spacing w:after="0" w:line="248" w:lineRule="exact"/>
        <w:rPr>
          <w:sz w:val="20"/>
          <w:szCs w:val="20"/>
          <w:color w:val="auto"/>
        </w:rPr>
      </w:pPr>
    </w:p>
    <w:p>
      <w:pPr>
        <w:ind w:firstLine="332"/>
        <w:spacing w:after="0" w:line="277" w:lineRule="auto"/>
        <w:tabs>
          <w:tab w:leader="none" w:pos="51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2013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Date: November 13, 2013</w:t>
      </w:r>
      <w:r>
        <w:rPr>
          <w:sz w:val="20"/>
          <w:szCs w:val="20"/>
          <w:color w:val="auto"/>
        </w:rPr>
        <w:tab/>
      </w:r>
      <w:r>
        <w:rPr>
          <w:rFonts w:ascii="Arial" w:cs="Arial" w:eastAsia="Arial" w:hAnsi="Arial"/>
          <w:sz w:val="17"/>
          <w:szCs w:val="17"/>
          <w:color w:val="auto"/>
        </w:rPr>
        <w:t>By: /s/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wp:posOffset>
            </wp:positionV>
            <wp:extent cx="25044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04440" cy="1714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Jennifer Crow, do hereby certify, pursuant to 18 U.S.C. Section 1350, as adopted by Section 906 of the Sarbanes-Oxley Act of 2002, that:</w:t>
      </w:r>
    </w:p>
    <w:p>
      <w:pPr>
        <w:spacing w:after="0" w:line="248" w:lineRule="exact"/>
        <w:rPr>
          <w:sz w:val="20"/>
          <w:szCs w:val="20"/>
          <w:color w:val="auto"/>
        </w:rPr>
      </w:pPr>
    </w:p>
    <w:p>
      <w:pPr>
        <w:ind w:firstLine="332"/>
        <w:spacing w:after="0" w:line="277" w:lineRule="auto"/>
        <w:tabs>
          <w:tab w:leader="none" w:pos="51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2013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Date: November 13, 2013</w:t>
      </w:r>
      <w:r>
        <w:rPr>
          <w:sz w:val="20"/>
          <w:szCs w:val="20"/>
          <w:color w:val="auto"/>
        </w:rPr>
        <w:tab/>
      </w:r>
      <w:r>
        <w:rPr>
          <w:rFonts w:ascii="Arial" w:cs="Arial" w:eastAsia="Arial" w:hAnsi="Arial"/>
          <w:sz w:val="17"/>
          <w:szCs w:val="17"/>
          <w:color w:val="auto"/>
        </w:rPr>
        <w:t>By: /s/ JENNIFER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14605</wp:posOffset>
            </wp:positionV>
            <wp:extent cx="2675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Jennifer Crow</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1"/>
    </w:lvl>
    <w:lvl w:ilvl="1">
      <w:lvlJc w:val="left"/>
      <w:lvlText w:val="(%2)"/>
      <w:numFmt w:val="lowerLetter"/>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2019-12-06T07:08:55Z</dcterms:created>
  <dcterms:modified xsi:type="dcterms:W3CDTF">2019-12-06T07:08:55Z</dcterms:modified>
</cp:coreProperties>
</file>