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740" w:right="1880" w:hanging="3617"/>
        <w:spacing w:after="0" w:line="564" w:lineRule="auto"/>
        <w:tabs>
          <w:tab w:leader="none" w:pos="38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378" w:lineRule="exact"/>
        <w:rPr>
          <w:sz w:val="24"/>
          <w:szCs w:val="24"/>
          <w:color w:val="auto"/>
        </w:rPr>
      </w:pPr>
    </w:p>
    <w:p>
      <w:pPr>
        <w:ind w:left="12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108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8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(Exact Name of Registrant as Specified in its Charter)</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20" w:type="dxa"/>
            <w:vAlign w:val="bottom"/>
            <w:gridSpan w:val="6"/>
          </w:tcPr>
          <w:p>
            <w:pPr>
              <w:spacing w:after="0"/>
              <w:rPr>
                <w:sz w:val="24"/>
                <w:szCs w:val="2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3"/>
              </w:rPr>
              <w:t>(State or other jurisdiction of</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3"/>
              </w:rPr>
              <w:t>incorporation or organization)</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6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w w:val="90"/>
              </w:rPr>
              <w:t>110 Wild Basin Road, Suite 100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900" w:type="dxa"/>
            <w:vAlign w:val="bottom"/>
            <w:gridSpan w:val="8"/>
          </w:tcPr>
          <w:p>
            <w:pPr>
              <w:jc w:val="center"/>
              <w:ind w:right="4880"/>
              <w:spacing w:after="0" w:line="194" w:lineRule="exact"/>
              <w:rPr>
                <w:sz w:val="20"/>
                <w:szCs w:val="20"/>
                <w:color w:val="auto"/>
              </w:rPr>
            </w:pPr>
            <w:r>
              <w:rPr>
                <w:rFonts w:ascii="Arial" w:cs="Arial" w:eastAsia="Arial" w:hAnsi="Arial"/>
                <w:sz w:val="18"/>
                <w:szCs w:val="18"/>
                <w:b w:val="1"/>
                <w:bCs w:val="1"/>
                <w:color w:val="auto"/>
                <w:w w:val="87"/>
              </w:rPr>
              <w:t>Austin, Texas</w:t>
            </w:r>
          </w:p>
        </w:tc>
        <w:tc>
          <w:tcPr>
            <w:tcW w:w="132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r>
        <w:trPr>
          <w:trHeight w:val="392"/>
        </w:trPr>
        <w:tc>
          <w:tcPr>
            <w:tcW w:w="5200" w:type="dxa"/>
            <w:vAlign w:val="bottom"/>
            <w:gridSpan w:val="7"/>
          </w:tcPr>
          <w:p>
            <w:pPr>
              <w:jc w:val="center"/>
              <w:ind w:left="399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5"/>
          </w:tcPr>
          <w:p>
            <w:pPr>
              <w:jc w:val="center"/>
              <w:ind w:left="330"/>
              <w:spacing w:after="0"/>
              <w:rPr>
                <w:sz w:val="20"/>
                <w:szCs w:val="20"/>
                <w:color w:val="auto"/>
              </w:rPr>
            </w:pPr>
            <w:r>
              <w:rPr>
                <w:rFonts w:ascii="Arial" w:cs="Arial" w:eastAsia="Arial" w:hAnsi="Arial"/>
                <w:sz w:val="18"/>
                <w:szCs w:val="18"/>
                <w:color w:val="auto"/>
                <w:w w:val="90"/>
              </w:rPr>
              <w:t>(Registrant’s Telephone Number, including Area Code)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60" w:space="720"/>
            <w:col w:w="2140" w:space="720"/>
            <w:col w:w="2120" w:space="720"/>
            <w:col w:w="264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660" w:space="140"/>
            <w:col w:w="262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13, 2015, the registrant had outstanding 6,289,646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20" w:type="dxa"/>
            <w:vAlign w:val="bottom"/>
            <w:gridSpan w:val="1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0" w:type="dxa"/>
            <w:vAlign w:val="bottom"/>
          </w:tcPr>
          <w:p>
            <w:pPr>
              <w:spacing w:after="0"/>
              <w:rPr>
                <w:sz w:val="14"/>
                <w:szCs w:val="14"/>
                <w:color w:val="auto"/>
              </w:rPr>
            </w:pPr>
          </w:p>
        </w:tc>
      </w:tr>
      <w:tr>
        <w:trPr>
          <w:trHeight w:val="426"/>
        </w:trPr>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7"/>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241"/>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Number</w:t>
            </w: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7"/>
          </w:tcPr>
          <w:p>
            <w:pPr>
              <w:ind w:left="66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18"/>
                <w:szCs w:val="18"/>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Loss for the Three and Nine Months Ended September 30, 2015 and 2014</w:t>
              </w:r>
            </w:hyperlink>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2015 and 2014</w:t>
              </w:r>
            </w:hyperlink>
          </w:p>
        </w:tc>
        <w:tc>
          <w:tcPr>
            <w:tcW w:w="15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48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9"/>
              </w:rPr>
            </w:pPr>
            <w:hyperlink w:anchor="page16">
              <w:r>
                <w:rPr>
                  <w:rFonts w:ascii="Arial" w:cs="Arial" w:eastAsia="Arial" w:hAnsi="Arial"/>
                  <w:sz w:val="18"/>
                  <w:szCs w:val="18"/>
                  <w:b w:val="1"/>
                  <w:bCs w:val="1"/>
                  <w:color w:val="0000EE"/>
                  <w:w w:val="89"/>
                </w:rPr>
                <w:t>Management’s Discussion and Analysis of Financial Condition and Results of Operations</w:t>
              </w:r>
            </w:hyperlink>
          </w:p>
        </w:tc>
        <w:tc>
          <w:tcPr>
            <w:tcW w:w="290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780" w:type="dxa"/>
            <w:vAlign w:val="bottom"/>
            <w:gridSpan w:val="15"/>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Controls and Procedures</w:t>
              </w:r>
            </w:hyperlink>
          </w:p>
        </w:tc>
        <w:tc>
          <w:tcPr>
            <w:tcW w:w="514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8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5"/>
          </w:tcPr>
          <w:p>
            <w:pPr>
              <w:spacing w:after="0"/>
              <w:rPr>
                <w:rFonts w:ascii="Arial" w:cs="Arial" w:eastAsia="Arial" w:hAnsi="Arial"/>
                <w:sz w:val="18"/>
                <w:szCs w:val="18"/>
                <w:b w:val="1"/>
                <w:bCs w:val="1"/>
                <w:color w:val="0000EE"/>
                <w:w w:val="84"/>
              </w:rPr>
            </w:pPr>
            <w:hyperlink w:anchor="page22">
              <w:r>
                <w:rPr>
                  <w:rFonts w:ascii="Arial" w:cs="Arial" w:eastAsia="Arial" w:hAnsi="Arial"/>
                  <w:sz w:val="18"/>
                  <w:szCs w:val="18"/>
                  <w:b w:val="1"/>
                  <w:bCs w:val="1"/>
                  <w:color w:val="0000EE"/>
                  <w:w w:val="84"/>
                </w:rPr>
                <w:t>Legal Proceedings</w:t>
              </w:r>
            </w:hyperlink>
          </w:p>
        </w:tc>
        <w:tc>
          <w:tcPr>
            <w:tcW w:w="840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6"/>
              </w:rPr>
            </w:pPr>
            <w:hyperlink w:anchor="page22">
              <w:r>
                <w:rPr>
                  <w:rFonts w:ascii="Arial" w:cs="Arial" w:eastAsia="Arial" w:hAnsi="Arial"/>
                  <w:sz w:val="18"/>
                  <w:szCs w:val="18"/>
                  <w:b w:val="1"/>
                  <w:bCs w:val="1"/>
                  <w:color w:val="0000EE"/>
                  <w:w w:val="86"/>
                </w:rPr>
                <w:t>Risk Factors</w:t>
              </w:r>
            </w:hyperlink>
          </w:p>
        </w:tc>
        <w:tc>
          <w:tcPr>
            <w:tcW w:w="882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780" w:type="dxa"/>
            <w:vAlign w:val="bottom"/>
            <w:gridSpan w:val="15"/>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Unregistered Sales of Equity Securities and Use of Proceeds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87"/>
              </w:rPr>
            </w:pPr>
            <w:hyperlink w:anchor="page22">
              <w:r>
                <w:rPr>
                  <w:rFonts w:ascii="Arial" w:cs="Arial" w:eastAsia="Arial" w:hAnsi="Arial"/>
                  <w:sz w:val="18"/>
                  <w:szCs w:val="18"/>
                  <w:b w:val="1"/>
                  <w:bCs w:val="1"/>
                  <w:color w:val="0000EE"/>
                  <w:w w:val="87"/>
                </w:rPr>
                <w:t>Defaults upon Senior Securities</w:t>
              </w:r>
            </w:hyperlink>
          </w:p>
        </w:tc>
        <w:tc>
          <w:tcPr>
            <w:tcW w:w="2140" w:type="dxa"/>
            <w:vAlign w:val="bottom"/>
            <w:tcBorders>
              <w:top w:val="single" w:sz="8" w:color="0000EE"/>
            </w:tcBorders>
            <w:gridSpan w:val="3"/>
          </w:tcPr>
          <w:p>
            <w:pPr>
              <w:spacing w:after="0"/>
              <w:rPr>
                <w:sz w:val="17"/>
                <w:szCs w:val="17"/>
                <w:color w:val="auto"/>
              </w:rPr>
            </w:pPr>
          </w:p>
        </w:tc>
        <w:tc>
          <w:tcPr>
            <w:tcW w:w="524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22">
              <w:r>
                <w:rPr>
                  <w:rFonts w:ascii="Arial" w:cs="Arial" w:eastAsia="Arial" w:hAnsi="Arial"/>
                  <w:sz w:val="18"/>
                  <w:szCs w:val="18"/>
                  <w:b w:val="1"/>
                  <w:bCs w:val="1"/>
                  <w:color w:val="0000EE"/>
                  <w:w w:val="85"/>
                </w:rPr>
                <w:t>Exhibits</w:t>
              </w:r>
            </w:hyperlink>
          </w:p>
        </w:tc>
        <w:tc>
          <w:tcPr>
            <w:tcW w:w="916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12"/>
        </w:trPr>
        <w:tc>
          <w:tcPr>
            <w:tcW w:w="10620" w:type="dxa"/>
            <w:vAlign w:val="bottom"/>
            <w:gridSpan w:val="1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52"/>
        </w:trPr>
        <w:tc>
          <w:tcPr>
            <w:tcW w:w="84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ASURE SOFTWARE, INC.</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color w:val="auto"/>
                <w:w w:val="91"/>
              </w:rPr>
              <w:t>(Amounts in thousands)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340" w:type="dxa"/>
            <w:vAlign w:val="bottom"/>
          </w:tcPr>
          <w:p>
            <w:pPr>
              <w:jc w:val="center"/>
              <w:ind w:left="20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02"/>
        </w:trPr>
        <w:tc>
          <w:tcPr>
            <w:tcW w:w="83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02"/>
        </w:trPr>
        <w:tc>
          <w:tcPr>
            <w:tcW w:w="83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Accounts receivable, net of allowance for doubtful accounts of $128 and $120 at</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September 30, 2015 and December 31, 2014, respectively</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7,088</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8,322</w:t>
            </w:r>
          </w:p>
        </w:tc>
      </w:tr>
      <w:tr>
        <w:trPr>
          <w:trHeight w:val="223"/>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33,641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34,468</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23"/>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14,402</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15,595</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6,674 and 6,434 shares issued,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6,290 and 6,050 shares outstanding at September 30, 2015 and December 31, 2014, respectively</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384 shares at September 30, 2015 and December 31, 2014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279,574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278,656</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(270,108)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(269,146)</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33,641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34,468</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rPr>
              <w:t>FOR THE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6,654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7,030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20,145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1,750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5,281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14,864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3,866</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10,926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14,707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lease termination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settlement of note payable and litigation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debt refinancing</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 and other</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amortization of original issue discount (OID)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b w:val="1"/>
                <w:bCs w:val="1"/>
                <w:color w:val="auto"/>
              </w:rPr>
              <w:t>Total other loss, net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(278)</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(296)</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(531)</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224</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(817)</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(574)</w:t>
            </w: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(962)</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Foreign currency gain (loss)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(547</w:t>
            </w:r>
            <w:r>
              <w:rPr>
                <w:rFonts w:ascii="Arial" w:cs="Arial" w:eastAsia="Arial" w:hAnsi="Arial"/>
                <w:sz w:val="18"/>
                <w:szCs w:val="18"/>
                <w:color w:val="auto"/>
              </w:rPr>
              <w: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6,290,000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6,008,000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6,290,000</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6,284,000</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6,138,000</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5,986,000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rPr>
              <w:t>FOR THE</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Gain on settlement of note payable and litigation</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debt refinancing</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Restricted cash</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1,993</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(1,290)</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Disposals of property and equipment</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Collection/(Issuance) of note receivable</w:t>
            </w: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(1,272)</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Payments on notes payable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(5,527)</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Debt financing fees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Insurance proceeds for settlement of notes payable dispute, net of expenses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(914)</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(198)</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320</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2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w:t>
            </w:r>
          </w:p>
        </w:tc>
        <w:tc>
          <w:tcPr>
            <w:tcW w:w="380" w:type="dxa"/>
            <w:vAlign w:val="bottom"/>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w:t>
            </w:r>
          </w:p>
        </w:tc>
        <w:tc>
          <w:tcPr>
            <w:tcW w:w="20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customer</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Accrued contingent consideration upon acquisition</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840" w:right="2520" w:hanging="261"/>
        <w:spacing w:after="0" w:line="323" w:lineRule="auto"/>
        <w:rPr>
          <w:sz w:val="20"/>
          <w:szCs w:val="20"/>
          <w:color w:val="auto"/>
        </w:rPr>
      </w:pPr>
      <w:r>
        <w:rPr>
          <w:rFonts w:ascii="Arial" w:cs="Arial" w:eastAsia="Arial" w:hAnsi="Arial"/>
          <w:sz w:val="16"/>
          <w:szCs w:val="16"/>
          <w:b w:val="1"/>
          <w:bCs w:val="1"/>
          <w:color w:val="auto"/>
        </w:rPr>
        <w:t xml:space="preserve">NOTES TO THE CONDENSED CONSOLIDATED FINANCIAL STATEMENTS </w:t>
      </w:r>
      <w:r>
        <w:rPr>
          <w:rFonts w:ascii="Arial" w:cs="Arial" w:eastAsia="Arial" w:hAnsi="Arial"/>
          <w:sz w:val="16"/>
          <w:szCs w:val="16"/>
          <w:color w:val="auto"/>
        </w:rPr>
        <w:t>(Amounts in thousands, except share and per share data unless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is a provider of cloud-based software-as-a-service (“SaaS”) time and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Traverse City, Michigan and London, United Kingdom.</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September 30, 2015 and December 31, 2014, the results of operations for the three and nine months ended September 30, 2015 and 2014, and the cash flows for the nine months ended September 30, 2015 and 2014.</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2014.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30, 2015, Asure’s principal sources of liquidity consisted of approximately $122 of cash and cash equivalents and future cash generated from operations. We believe that we have and/or will generate sufficient cash for our short- and long-term needs, including meeting the requirements of our term loan, and the related debt covenant requirements. We continue to seek reductions in our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expect to fund any future acquisitions with equity, available cash, future cash from operations, or debt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(Accounting Standards Codification “ASC” Topic 606). The purpose of this ASU is to converge revenue recognition requirements per GAAP and International Financial Reporting Standards (IFRS). The core principle of the guidance is that an entity should recognize revenue to depict the transfer of promised goods or services to customers in an amount that reflects the consideration to which the entity expects to be entitled in exchange for those goods or services. The amendments in this ASU are effective for interim and annual reporting periods beginning after December 15, 2016, with early adoption not permitted by the FASB; however, in August 2015, the FASB issued ASU 2015-14, Revenue from Contracts with Customers (Topic 606): Deferral of the Effective Date after public comment respondents supported a proposal to delay the effective date of this ASU to annual reporting periods beginning after December 15, 2017, including interim reporting periods within that reporting period. We are currently evaluating the impact of this ASU on its consolidated financial position, results of operations and cash flows.</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2015, the FASB issued ASU No. 2015-03, "Interest—Imputation of Interest (Subtopic 835-30): Simplifying the Presentation of Debt Issuance Costs ("ASU 2015-03"). ASU 2015-03 requires debt issuance costs to be presented in the balance sheet as a direct deduction from the carrying value of the associated debt liability, consistent with the presentation of a debt discount. Prior to the issuance of the standard, debt issuance costs were required to be presented in the balance sheet as an asset. The Company is currently assessing the impact that adopting this new accounting guidance will have on its consolidated financial statements and footnote disclosures. ASU 2015-03 is effective for fiscal years, and interim periods within those years, beginning after December 15, 2015. Accordingly, the standard is effective for the Company on January 1, 2016.</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are currently assessing the impact of adopting this standards update on our consolidated financial statements.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September 2015, the FASB issued ASU 2015-16, “Business Combinations: Simplifying the Accounting for Measurement-Period Adjustments,” which requires acquirers to recognize adjustments to provisional amounts identified during the reporting period in which the adjustment amounts are determined.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early adopted this ASU. The adoption did not have a material impact on our results of operations or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September 30, 2015, we were not party to any pending legal proceedings.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Level 1:  Quoted prices in active markets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assets or liabilities;</w:t>
      </w:r>
    </w:p>
    <w:p>
      <w:pPr>
        <w:spacing w:after="0" w:line="225" w:lineRule="exact"/>
        <w:rPr>
          <w:sz w:val="20"/>
          <w:szCs w:val="20"/>
          <w:color w:val="auto"/>
        </w:rPr>
      </w:pPr>
    </w:p>
    <w:p>
      <w:pPr>
        <w:ind w:left="1380" w:right="40" w:hanging="728"/>
        <w:spacing w:after="0" w:line="277" w:lineRule="auto"/>
        <w:rPr>
          <w:sz w:val="20"/>
          <w:szCs w:val="20"/>
          <w:color w:val="auto"/>
        </w:rPr>
      </w:pPr>
      <w:r>
        <w:rPr>
          <w:rFonts w:ascii="Arial" w:cs="Arial" w:eastAsia="Arial" w:hAnsi="Arial"/>
          <w:sz w:val="18"/>
          <w:szCs w:val="18"/>
          <w:color w:val="auto"/>
        </w:rPr>
        <w:t xml:space="preserve">Level 2: 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September 30,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December 31, 2014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our Level 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Consolidated Statement of Comprehensive Loss. The balance at September 30, 2015 was $262, adjusted from the original amount of $327 after the valuation was finalized in the first quarter of 2015.</w:t>
      </w:r>
    </w:p>
    <w:p>
      <w:pPr>
        <w:sectPr>
          <w:pgSz w:w="11900" w:h="16838" w:orient="portrait"/>
          <w:cols w:equalWidth="0" w:num="1">
            <w:col w:w="11420"/>
          </w:cols>
          <w:pgMar w:left="240" w:top="121"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Management estimates probabilities and then applies them to management’s conservative case forecast, most likely case forecast and optimistic case forecast with the various scenarios.</w:t>
      </w:r>
    </w:p>
    <w:p>
      <w:pPr>
        <w:spacing w:after="0" w:line="174" w:lineRule="exact"/>
        <w:rPr>
          <w:sz w:val="20"/>
          <w:szCs w:val="20"/>
          <w:color w:val="auto"/>
        </w:rPr>
      </w:pPr>
    </w:p>
    <w:p>
      <w:pPr>
        <w:jc w:val="both"/>
        <w:ind w:firstLine="703"/>
        <w:spacing w:after="0" w:line="259" w:lineRule="auto"/>
        <w:rPr>
          <w:sz w:val="20"/>
          <w:szCs w:val="20"/>
          <w:color w:val="auto"/>
        </w:rPr>
      </w:pPr>
      <w:r>
        <w:rPr>
          <w:rFonts w:ascii="Arial" w:cs="Arial" w:eastAsia="Arial" w:hAnsi="Arial"/>
          <w:sz w:val="18"/>
          <w:szCs w:val="18"/>
          <w:color w:val="auto"/>
        </w:rPr>
        <w:t>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 Management evaluates the fair value on a quarterly basis based upon updated projections. There has been no change to the fair value as of September 30,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2014, Asure acquired all of the issued and outstanding shares of common stock (the “Shares”) of FotoPunch, a Delaware corporation,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aggregate consideration for the Shares consisted of (i) $1,500 in cash, a portion of which was used to pay certain obligations of FotoPunch and</w:t>
      </w:r>
    </w:p>
    <w:p>
      <w:pPr>
        <w:spacing w:after="0" w:line="46" w:lineRule="exact"/>
        <w:rPr>
          <w:sz w:val="20"/>
          <w:szCs w:val="20"/>
          <w:color w:val="auto"/>
        </w:rPr>
      </w:pPr>
    </w:p>
    <w:p>
      <w:pPr>
        <w:ind w:firstLine="8"/>
        <w:spacing w:after="0" w:line="261" w:lineRule="auto"/>
        <w:tabs>
          <w:tab w:leader="none" w:pos="279"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an additional $3,000 in post-closing earnout payments. We funded the $1,500 cash payment with proceeds from our credit agreement with Wells Fargo.</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$3,000 earnout is payable over three earnout periods (with the first, second and third periods ending June 30, 2015, June 30, 2016 and June 30, 2018, respectively) based on the FotoPunch operations achieving specified target revenues in an earnout period. At least 75% of the target revenues must be achieved in the first and second earnout periods and at least 50% of the target revenues must be achieved in the third earnout period. The earnout (“contingent consideration”) was recorded in Accrued Expenses in the accompanying Consolidated Balance Sheet with an estimated fair value of $327 at the date of acquisition. No earnout consideration was payable as of June 30, 2015. The fair value at September 30, 2015 was $262, adjusted from the original amount of $327 after the valuation was finalized in the first quarter of 2015.</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price was allocated based upon fair value, as follows: net assets of ($1); technology of $440; and goodwill of $1,388. The fair value of technology was determined using the income approach.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2014, Asure acquired substantially all the assets of Roomtag, LLC (“Roomtag”). The aggregate consideration for the assets consisted of</w:t>
      </w:r>
    </w:p>
    <w:p>
      <w:pPr>
        <w:spacing w:after="0" w:line="46" w:lineRule="exact"/>
        <w:rPr>
          <w:sz w:val="20"/>
          <w:szCs w:val="20"/>
          <w:color w:val="auto"/>
        </w:rPr>
      </w:pPr>
    </w:p>
    <w:p>
      <w:pPr>
        <w:jc w:val="both"/>
        <w:ind w:firstLine="8"/>
        <w:spacing w:after="0" w:line="295" w:lineRule="auto"/>
        <w:tabs>
          <w:tab w:leader="none" w:pos="234" w:val="left"/>
        </w:tabs>
        <w:numPr>
          <w:ilvl w:val="0"/>
          <w:numId w:val="3"/>
        </w:numPr>
        <w:rPr>
          <w:rFonts w:ascii="Arial" w:cs="Arial" w:eastAsia="Arial" w:hAnsi="Arial"/>
          <w:sz w:val="16"/>
          <w:szCs w:val="16"/>
          <w:color w:val="auto"/>
        </w:rPr>
      </w:pPr>
      <w:r>
        <w:rPr>
          <w:rFonts w:ascii="Arial" w:cs="Arial" w:eastAsia="Arial" w:hAnsi="Arial"/>
          <w:sz w:val="16"/>
          <w:szCs w:val="16"/>
          <w:color w:val="auto"/>
        </w:rPr>
        <w:t>$933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In August 2015, we paid $722 in full payment of this Note, after applying a 5% discount.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We adjusted the note to a fair value of $2,404 at the date of purchase based on our incremental borrowing rate. We recorded the note at fair value using a discount rate of 10%, which resulted in an original issue discount of $622, which was accreted up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and a reduction of the original $3,000 deferred purchase payment by such amount.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w:t>
      </w:r>
    </w:p>
    <w:p>
      <w:pPr>
        <w:spacing w:after="0" w:line="171" w:lineRule="exact"/>
        <w:rPr>
          <w:sz w:val="20"/>
          <w:szCs w:val="20"/>
          <w:color w:val="auto"/>
        </w:rPr>
      </w:pPr>
    </w:p>
    <w:p>
      <w:pPr>
        <w:jc w:val="both"/>
        <w:ind w:firstLine="700"/>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summarizes the changes in our goodwill:</w:t>
            </w:r>
          </w:p>
        </w:tc>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3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Balance at September 30, 2015</w:t>
            </w:r>
          </w:p>
        </w:tc>
        <w:tc>
          <w:tcPr>
            <w:tcW w:w="3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17,438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40" w:type="dxa"/>
            <w:vAlign w:val="bottom"/>
            <w:vMerge w:val="restart"/>
          </w:tcPr>
          <w:p>
            <w:pPr>
              <w:jc w:val="right"/>
              <w:ind w:right="2590"/>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September 30, 2015 and December 31, 2014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rPr>
              <w:t>September 30, 2015</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40"/>
              <w:spacing w:after="0" w:line="198" w:lineRule="exact"/>
              <w:rPr>
                <w:sz w:val="20"/>
                <w:szCs w:val="20"/>
                <w:color w:val="auto"/>
              </w:rPr>
            </w:pPr>
            <w:r>
              <w:rPr>
                <w:rFonts w:ascii="Arial" w:cs="Arial" w:eastAsia="Arial" w:hAnsi="Arial"/>
                <w:sz w:val="18"/>
                <w:szCs w:val="18"/>
                <w:b w:val="1"/>
                <w:bCs w:val="1"/>
                <w:color w:val="auto"/>
                <w:w w:val="90"/>
              </w:rPr>
              <w:t>Weighted Average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w:cs="Arial" w:eastAsia="Arial" w:hAnsi="Arial"/>
                <w:sz w:val="18"/>
                <w:szCs w:val="18"/>
                <w:b w:val="1"/>
                <w:bCs w:val="1"/>
                <w:color w:val="auto"/>
                <w:w w:val="97"/>
              </w:rPr>
              <w:t>Period (in Years)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7.6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(8,642)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(12,117)</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rPr>
              <w:t>December 31,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40"/>
              <w:spacing w:after="0" w:line="198" w:lineRule="exact"/>
              <w:rPr>
                <w:sz w:val="20"/>
                <w:szCs w:val="20"/>
                <w:color w:val="auto"/>
              </w:rPr>
            </w:pPr>
            <w:r>
              <w:rPr>
                <w:rFonts w:ascii="Arial" w:cs="Arial" w:eastAsia="Arial" w:hAnsi="Arial"/>
                <w:sz w:val="18"/>
                <w:szCs w:val="18"/>
                <w:b w:val="1"/>
                <w:bCs w:val="1"/>
                <w:color w:val="auto"/>
                <w:w w:val="90"/>
              </w:rPr>
              <w:t>Weighted Average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w:cs="Arial" w:eastAsia="Arial" w:hAnsi="Arial"/>
                <w:sz w:val="18"/>
                <w:szCs w:val="18"/>
                <w:b w:val="1"/>
                <w:bCs w:val="1"/>
                <w:color w:val="auto"/>
                <w:w w:val="97"/>
              </w:rPr>
              <w:t>Period (in Years)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7.6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18,607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(10,285)</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 amortization expense using the straight-line method over the estimated useful lives of the intangible assets, as noted above. Amortization expenses for the three months ended September 30, 2015 and 2014 were $505 and $494, respectively, included in Operating Expenses. Amortization expenses recorded in Cost of Sales were $106 and $84 for the three months ended September 30, 2015 and 2014, respectively. Amortization expenses for the nine months ended September 30, 2015 and 2014 were $1,514 and $1,488 included in Operating Expenses, and $318 and $236, respectively, included in Cost of Sales.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3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 (remaining)</w:t>
            </w:r>
          </w:p>
        </w:tc>
        <w:tc>
          <w:tcPr>
            <w:tcW w:w="43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2016</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1,759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2018</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6,485</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Balance as of</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Stated Interest</w:t>
            </w: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Rate</w:t>
            </w:r>
          </w:p>
        </w:tc>
        <w:tc>
          <w:tcPr>
            <w:tcW w:w="7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 2014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 Payable: Roomtag Acquisition Note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10/31/2016</w:t>
            </w:r>
          </w:p>
        </w:tc>
        <w:tc>
          <w:tcPr>
            <w:tcW w:w="12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Term Loan - Wells Fargo</w:t>
            </w:r>
          </w:p>
        </w:tc>
        <w:tc>
          <w:tcPr>
            <w:tcW w:w="1600" w:type="dxa"/>
            <w:vAlign w:val="bottom"/>
            <w:gridSpan w:val="2"/>
          </w:tcPr>
          <w:p>
            <w:pPr>
              <w:jc w:val="right"/>
              <w:ind w:right="290"/>
              <w:spacing w:after="0"/>
              <w:rPr>
                <w:sz w:val="20"/>
                <w:szCs w:val="20"/>
                <w:color w:val="auto"/>
              </w:rPr>
            </w:pPr>
            <w:r>
              <w:rPr>
                <w:rFonts w:ascii="Arial" w:cs="Arial" w:eastAsia="Arial" w:hAnsi="Arial"/>
                <w:sz w:val="18"/>
                <w:szCs w:val="18"/>
                <w:color w:val="auto"/>
              </w:rPr>
              <w:t>3/31/2019</w:t>
            </w:r>
          </w:p>
        </w:tc>
        <w:tc>
          <w:tcPr>
            <w:tcW w:w="1760" w:type="dxa"/>
            <w:vAlign w:val="bottom"/>
            <w:gridSpan w:val="5"/>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13,876</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left="165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13,876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20"/>
              <w:spacing w:after="0"/>
              <w:rPr>
                <w:sz w:val="20"/>
                <w:szCs w:val="20"/>
                <w:color w:val="auto"/>
              </w:rPr>
            </w:pPr>
            <w:r>
              <w:rPr>
                <w:rFonts w:ascii="Arial" w:cs="Arial" w:eastAsia="Arial" w:hAnsi="Arial"/>
                <w:sz w:val="18"/>
                <w:szCs w:val="18"/>
                <w:color w:val="auto"/>
              </w:rPr>
              <w:t>Short-term notes payable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6"/>
          </w:tcPr>
          <w:p>
            <w:pPr>
              <w:jc w:val="center"/>
              <w:ind w:left="165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left="165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gridSpan w:val="10"/>
          </w:tcPr>
          <w:p>
            <w:pPr>
              <w:ind w:left="640"/>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Gross Amount</w:t>
            </w:r>
          </w:p>
        </w:tc>
        <w:tc>
          <w:tcPr>
            <w:tcW w:w="7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13,876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Roomtag Acquisition Note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2014, we acquired substantially all the assets of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This Note is subordinated to our obligations under the Term Loan discussed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2015, we paid $722 to retire this Note in full, after applying a 5% discount.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as follows:</w:t>
      </w:r>
    </w:p>
    <w:p>
      <w:pPr>
        <w:spacing w:after="0" w:line="170" w:lineRule="exact"/>
        <w:rPr>
          <w:sz w:val="20"/>
          <w:szCs w:val="20"/>
          <w:color w:val="auto"/>
        </w:rPr>
      </w:pPr>
    </w:p>
    <w:p>
      <w:pPr>
        <w:ind w:left="1300" w:hanging="129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$188 on June 30, 2014 and the last day of each fiscal quarter thereafter up to March 31, 2016;</w:t>
      </w:r>
    </w:p>
    <w:p>
      <w:pPr>
        <w:spacing w:after="0" w:line="23" w:lineRule="exact"/>
        <w:rPr>
          <w:rFonts w:ascii="Arial" w:cs="Arial" w:eastAsia="Arial" w:hAnsi="Arial"/>
          <w:sz w:val="18"/>
          <w:szCs w:val="18"/>
          <w:color w:val="auto"/>
        </w:rPr>
      </w:pPr>
    </w:p>
    <w:p>
      <w:pPr>
        <w:ind w:left="1300" w:hanging="129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$281 on June 30, 2016 and the last day of each fiscal quarter thereafter up to March 31, 2017; and</w:t>
      </w:r>
    </w:p>
    <w:p>
      <w:pPr>
        <w:spacing w:after="0" w:line="9" w:lineRule="exact"/>
        <w:rPr>
          <w:rFonts w:ascii="Arial" w:cs="Arial" w:eastAsia="Arial" w:hAnsi="Arial"/>
          <w:sz w:val="18"/>
          <w:szCs w:val="18"/>
          <w:color w:val="auto"/>
        </w:rPr>
      </w:pPr>
    </w:p>
    <w:p>
      <w:pPr>
        <w:ind w:left="1300" w:right="300" w:hanging="1292"/>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$375 on June 30, 2017 and the last day of each fiscal quarter thereafter, with a final payment of the remaining balance due on March 31, 2019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We repaid the balance on the revolver in 2014, leaving a balance of $0 at December 31, 2014. As of September 30, 2015, $0 was outstanding and $0 was available for borrowing under the revolver.</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has remained constant at 5% since the inception of the loan. Interest is payable quarterly and the margin varies based upon our leverage ratio. See table below of applicable margin rates as of September 30, 2015.</w:t>
      </w:r>
    </w:p>
    <w:p>
      <w:pPr>
        <w:spacing w:after="0" w:line="210" w:lineRule="exact"/>
        <w:rPr>
          <w:sz w:val="20"/>
          <w:szCs w:val="20"/>
          <w:color w:val="auto"/>
        </w:rPr>
      </w:pPr>
    </w:p>
    <w:tbl>
      <w:tblPr>
        <w:tblLayout w:type="fixed"/>
        <w:tblInd w:w="3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Base Rate</w:t>
            </w: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LIBOR Rate</w:t>
            </w:r>
          </w:p>
        </w:tc>
      </w:tr>
      <w:tr>
        <w:trPr>
          <w:trHeight w:val="241"/>
        </w:trPr>
        <w:tc>
          <w:tcPr>
            <w:tcW w:w="20" w:type="dxa"/>
            <w:vAlign w:val="bottom"/>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Total Leverage Ratio</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&gt; 2.75:1.0</w:t>
            </w:r>
          </w:p>
        </w:tc>
        <w:tc>
          <w:tcPr>
            <w:tcW w:w="1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2"/>
              </w:rPr>
              <w:t>&lt; 2.75:1.0 but &gt; 2.25:1.0</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&lt; 2.25:1.0</w:t>
            </w:r>
          </w:p>
        </w:tc>
        <w:tc>
          <w:tcPr>
            <w:tcW w:w="1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discussed below, the Credit Agreement was amended in November 2015. See table below of applicable margin rates as of November 11, 2015.</w:t>
      </w:r>
    </w:p>
    <w:p>
      <w:pPr>
        <w:spacing w:after="0" w:line="271" w:lineRule="exact"/>
        <w:rPr>
          <w:sz w:val="20"/>
          <w:szCs w:val="20"/>
          <w:color w:val="auto"/>
        </w:rPr>
      </w:pPr>
    </w:p>
    <w:tbl>
      <w:tblPr>
        <w:tblLayout w:type="fixed"/>
        <w:tblInd w:w="3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r>
      <w:tr>
        <w:trPr>
          <w:trHeight w:val="241"/>
        </w:trPr>
        <w:tc>
          <w:tcPr>
            <w:tcW w:w="20" w:type="dxa"/>
            <w:vAlign w:val="bottom"/>
          </w:tcPr>
          <w:p>
            <w:pPr>
              <w:spacing w:after="0"/>
              <w:rPr>
                <w:sz w:val="20"/>
                <w:szCs w:val="20"/>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Total Leverage Ratio</w:t>
            </w:r>
          </w:p>
        </w:tc>
        <w:tc>
          <w:tcPr>
            <w:tcW w:w="100" w:type="dxa"/>
            <w:vAlign w:val="bottom"/>
          </w:tcPr>
          <w:p>
            <w:pPr>
              <w:spacing w:after="0"/>
              <w:rPr>
                <w:sz w:val="20"/>
                <w:szCs w:val="20"/>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Base Rate Margin</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&gt; 3.25:1.0</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&lt; 3.25:1.0 but &gt;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2.75:1.0</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3.00%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&lt; 2.75:1.0 but &gt;</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2.25:1.0</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&lt; 2.25:1.0</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2.00%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 As of September 30, 2015, none of these payments were due.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Credit Agreement, we were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We amended the Credit Agreement in August 2014, March 2015 and November 2015. The August 2014 amendment revised the leverage ratio beginning with the quarter ending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2015, we were current on our payments under the Credit Agreement, but were not in compliance with our leverage ratio and fixed charge coverage ratio covenants. As a result of entering into the November 2015 amendment, the lenders waived this non-compliance. With this, we expect to be in compliance during the next twelve months with our debt covenants and with our payment obligations, in the latter case using our available cash on hand or as expected to be generated from operations.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 based compensation for our stock option plans for the three months ended September 30, 2015 and 2014 were $237 and $50, respectively, and $335 and $131 for the nine months ended September 30, 2015 and 2014, respectively. We issued 0 shares of common stock related to exercises of stock options granted from our Stock Option Plan for the three months ended September 30, 2015 and 1,500 shares of common stock for the three months ended September 30, 2014, respectively.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684,000 options granted and outstanding pursuant to the 2009 Plan as of September 30,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net of tax: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Foreign</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Currency Items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Loss Items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2014</w:t>
            </w:r>
          </w:p>
        </w:tc>
        <w:tc>
          <w:tcPr>
            <w:tcW w:w="1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Other comprehensive loss before reclassifications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current-period other comprehensive loss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Ending balance, September 30, 2015</w:t>
            </w:r>
          </w:p>
        </w:tc>
        <w:tc>
          <w:tcPr>
            <w:tcW w:w="14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40" w:type="dxa"/>
            <w:vAlign w:val="bottom"/>
            <w:vMerge w:val="restart"/>
          </w:tcPr>
          <w:p>
            <w:pPr>
              <w:jc w:val="right"/>
              <w:ind w:right="8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tax benefit (expense) allocated to each component of other comprehensive income (loss):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4680" w:type="dxa"/>
            <w:vAlign w:val="bottom"/>
            <w:gridSpan w:val="11"/>
          </w:tcPr>
          <w:p>
            <w:pPr>
              <w:jc w:val="center"/>
              <w:ind w:right="10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23"/>
        </w:trPr>
        <w:tc>
          <w:tcPr>
            <w:tcW w:w="38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7"/>
                <w:szCs w:val="17"/>
                <w:color w:val="auto"/>
                <w:w w:val="73"/>
              </w:rPr>
              <w:t>27</w:t>
            </w:r>
          </w:p>
        </w:tc>
        <w:tc>
          <w:tcPr>
            <w:tcW w:w="120" w:type="dxa"/>
            <w:vAlign w:val="bottom"/>
            <w:shd w:val="clear" w:color="auto" w:fill="CCEEFF"/>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7"/>
                <w:szCs w:val="17"/>
                <w:color w:val="auto"/>
                <w:w w:val="73"/>
              </w:rPr>
              <w:t>27</w:t>
            </w:r>
          </w:p>
        </w:tc>
        <w:tc>
          <w:tcPr>
            <w:tcW w:w="120" w:type="dxa"/>
            <w:vAlign w:val="bottom"/>
            <w:shd w:val="clear" w:color="auto" w:fill="CCEEFF"/>
          </w:tcPr>
          <w:p>
            <w:pPr>
              <w:spacing w:after="0"/>
              <w:rPr>
                <w:sz w:val="20"/>
                <w:szCs w:val="20"/>
                <w:color w:val="auto"/>
              </w:rPr>
            </w:pPr>
          </w:p>
        </w:tc>
      </w:tr>
      <w:tr>
        <w:trPr>
          <w:trHeight w:val="20"/>
        </w:trPr>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3860" w:type="dxa"/>
            <w:vAlign w:val="bottom"/>
          </w:tcPr>
          <w:p>
            <w:pPr>
              <w:spacing w:after="0"/>
              <w:rPr>
                <w:sz w:val="24"/>
                <w:szCs w:val="24"/>
                <w:color w:val="auto"/>
              </w:rPr>
            </w:pPr>
          </w:p>
        </w:tc>
        <w:tc>
          <w:tcPr>
            <w:tcW w:w="4680" w:type="dxa"/>
            <w:vAlign w:val="bottom"/>
            <w:gridSpan w:val="11"/>
          </w:tcPr>
          <w:p>
            <w:pPr>
              <w:jc w:val="center"/>
              <w:ind w:right="160"/>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23"/>
        </w:trPr>
        <w:tc>
          <w:tcPr>
            <w:tcW w:w="38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(8)</w:t>
            </w:r>
          </w:p>
        </w:tc>
      </w:tr>
      <w:tr>
        <w:trPr>
          <w:trHeight w:val="223"/>
        </w:trPr>
        <w:tc>
          <w:tcPr>
            <w:tcW w:w="38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(8)</w:t>
            </w:r>
          </w:p>
        </w:tc>
      </w:tr>
      <w:tr>
        <w:trPr>
          <w:trHeight w:val="20"/>
        </w:trPr>
        <w:tc>
          <w:tcPr>
            <w:tcW w:w="38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114,000 and 684,000 shares for the three and nine months ended September 30, 2015, respectively, and 209,000 and 728,000 shares for the three and nine months ended September 30, 2014, respectively, from the computation of the dilutive stock options because the effect of including the stock options would have been anti-dilutive.</w:t>
      </w:r>
    </w:p>
    <w:p>
      <w:pPr>
        <w:spacing w:after="0" w:line="22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for the three and nine months ended September 30,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2"/>
              </w:rPr>
              <w:t>For the Three Months</w:t>
            </w:r>
          </w:p>
        </w:tc>
        <w:tc>
          <w:tcPr>
            <w:tcW w:w="260" w:type="dxa"/>
            <w:vAlign w:val="bottom"/>
          </w:tcPr>
          <w:p>
            <w:pPr>
              <w:spacing w:after="0"/>
              <w:rPr>
                <w:sz w:val="18"/>
                <w:szCs w:val="18"/>
                <w:color w:val="auto"/>
              </w:rPr>
            </w:pPr>
          </w:p>
        </w:tc>
        <w:tc>
          <w:tcPr>
            <w:tcW w:w="27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89"/>
              </w:rPr>
              <w:t>Ended September 30,</w:t>
            </w:r>
          </w:p>
        </w:tc>
        <w:tc>
          <w:tcPr>
            <w:tcW w:w="260" w:type="dxa"/>
            <w:vAlign w:val="bottom"/>
          </w:tcPr>
          <w:p>
            <w:pPr>
              <w:spacing w:after="0"/>
              <w:rPr>
                <w:sz w:val="20"/>
                <w:szCs w:val="20"/>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6,008,000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Dilutive effect of employee stock options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for diluted net income (loss) per share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(0.09</w:t>
            </w: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0.03</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(0.16)</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(0.09</w:t>
            </w: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review of Asure’s financial position as of and for the three and nine months ended September 30, 2015 and 2014 should be read in conjunction with our 2014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workspace management solutions that enable companies of all sizes and complexities to operate more efficiently and proactively manage costs associated with their most expensive assets: real estate, labor and technology.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offer two main product lines, AsureSpace™ and AsureForce®. Our AsureSpace™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rPr>
              <w:t>FOR THE THREE</w:t>
            </w: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rPr>
              <w:t>FOR THE NINE</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9"/>
              </w:rPr>
              <w:t>MONTHS ENDED</w:t>
            </w: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9"/>
              </w:rPr>
              <w:t>MONTHS ENDED</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0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bottom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252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b w:val="1"/>
                <w:bCs w:val="1"/>
                <w:color w:val="auto"/>
                <w:w w:val="97"/>
              </w:rPr>
              <w:t>SEPTEMBER 30,</w:t>
            </w:r>
          </w:p>
        </w:tc>
        <w:tc>
          <w:tcPr>
            <w:tcW w:w="110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0" w:type="dxa"/>
            <w:vAlign w:val="bottom"/>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400" w:type="dxa"/>
            <w:vAlign w:val="bottom"/>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b w:val="1"/>
                <w:bCs w:val="1"/>
                <w:color w:val="auto"/>
              </w:rPr>
              <w:t>100%</w:t>
            </w:r>
          </w:p>
        </w:tc>
        <w:tc>
          <w:tcPr>
            <w:tcW w:w="25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b w:val="1"/>
                <w:bCs w:val="1"/>
                <w:color w:val="auto"/>
              </w:rPr>
              <w:t>100%</w:t>
            </w:r>
          </w:p>
        </w:tc>
        <w:tc>
          <w:tcPr>
            <w:tcW w:w="252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rPr>
              <w:t>100%</w:t>
            </w: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Gross margin</w:t>
            </w:r>
          </w:p>
        </w:tc>
        <w:tc>
          <w:tcPr>
            <w:tcW w:w="2500" w:type="dxa"/>
            <w:vAlign w:val="bottom"/>
            <w:gridSpan w:val="2"/>
          </w:tcPr>
          <w:p>
            <w:pPr>
              <w:jc w:val="right"/>
              <w:ind w:right="1400"/>
              <w:spacing w:after="0"/>
              <w:rPr>
                <w:sz w:val="20"/>
                <w:szCs w:val="20"/>
                <w:color w:val="auto"/>
              </w:rPr>
            </w:pPr>
            <w:r>
              <w:rPr>
                <w:rFonts w:ascii="Arial" w:cs="Arial" w:eastAsia="Arial" w:hAnsi="Arial"/>
                <w:sz w:val="18"/>
                <w:szCs w:val="18"/>
                <w:color w:val="auto"/>
              </w:rPr>
              <w:t>73.7</w:t>
            </w:r>
          </w:p>
        </w:tc>
        <w:tc>
          <w:tcPr>
            <w:tcW w:w="2520" w:type="dxa"/>
            <w:vAlign w:val="bottom"/>
            <w:gridSpan w:val="2"/>
          </w:tcPr>
          <w:p>
            <w:pPr>
              <w:jc w:val="right"/>
              <w:ind w:right="1400"/>
              <w:spacing w:after="0"/>
              <w:rPr>
                <w:sz w:val="20"/>
                <w:szCs w:val="20"/>
                <w:color w:val="auto"/>
              </w:rPr>
            </w:pPr>
            <w:r>
              <w:rPr>
                <w:rFonts w:ascii="Arial" w:cs="Arial" w:eastAsia="Arial" w:hAnsi="Arial"/>
                <w:sz w:val="18"/>
                <w:szCs w:val="18"/>
                <w:color w:val="auto"/>
              </w:rPr>
              <w:t>77.3</w:t>
            </w:r>
          </w:p>
        </w:tc>
        <w:tc>
          <w:tcPr>
            <w:tcW w:w="2520" w:type="dxa"/>
            <w:vAlign w:val="bottom"/>
            <w:gridSpan w:val="2"/>
          </w:tcPr>
          <w:p>
            <w:pPr>
              <w:jc w:val="right"/>
              <w:ind w:right="1420"/>
              <w:spacing w:after="0"/>
              <w:rPr>
                <w:sz w:val="20"/>
                <w:szCs w:val="20"/>
                <w:color w:val="auto"/>
              </w:rPr>
            </w:pPr>
            <w:r>
              <w:rPr>
                <w:rFonts w:ascii="Arial" w:cs="Arial" w:eastAsia="Arial" w:hAnsi="Arial"/>
                <w:sz w:val="18"/>
                <w:szCs w:val="18"/>
                <w:color w:val="auto"/>
              </w:rPr>
              <w:t>73.8</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77.5</w:t>
            </w: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w:t>
            </w: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and administrative</w:t>
            </w:r>
          </w:p>
        </w:tc>
        <w:tc>
          <w:tcPr>
            <w:tcW w:w="25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58.1</w:t>
            </w:r>
          </w:p>
        </w:tc>
        <w:tc>
          <w:tcPr>
            <w:tcW w:w="25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50.5</w:t>
            </w:r>
          </w:p>
        </w:tc>
        <w:tc>
          <w:tcPr>
            <w:tcW w:w="25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54.2</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51.8</w:t>
            </w: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500" w:type="dxa"/>
            <w:vAlign w:val="bottom"/>
            <w:gridSpan w:val="2"/>
          </w:tcPr>
          <w:p>
            <w:pPr>
              <w:jc w:val="right"/>
              <w:ind w:right="1400"/>
              <w:spacing w:after="0"/>
              <w:rPr>
                <w:sz w:val="20"/>
                <w:szCs w:val="20"/>
                <w:color w:val="auto"/>
              </w:rPr>
            </w:pPr>
            <w:r>
              <w:rPr>
                <w:rFonts w:ascii="Arial" w:cs="Arial" w:eastAsia="Arial" w:hAnsi="Arial"/>
                <w:sz w:val="18"/>
                <w:szCs w:val="18"/>
                <w:color w:val="auto"/>
              </w:rPr>
              <w:t>11.8</w:t>
            </w:r>
          </w:p>
        </w:tc>
        <w:tc>
          <w:tcPr>
            <w:tcW w:w="2520" w:type="dxa"/>
            <w:vAlign w:val="bottom"/>
            <w:gridSpan w:val="2"/>
          </w:tcPr>
          <w:p>
            <w:pPr>
              <w:jc w:val="right"/>
              <w:ind w:right="1400"/>
              <w:spacing w:after="0"/>
              <w:rPr>
                <w:sz w:val="20"/>
                <w:szCs w:val="20"/>
                <w:color w:val="auto"/>
              </w:rPr>
            </w:pPr>
            <w:r>
              <w:rPr>
                <w:rFonts w:ascii="Arial" w:cs="Arial" w:eastAsia="Arial" w:hAnsi="Arial"/>
                <w:sz w:val="18"/>
                <w:szCs w:val="18"/>
                <w:color w:val="auto"/>
              </w:rPr>
              <w:t>12.3</w:t>
            </w:r>
          </w:p>
        </w:tc>
        <w:tc>
          <w:tcPr>
            <w:tcW w:w="2520" w:type="dxa"/>
            <w:vAlign w:val="bottom"/>
            <w:gridSpan w:val="2"/>
          </w:tcPr>
          <w:p>
            <w:pPr>
              <w:jc w:val="right"/>
              <w:ind w:right="1420"/>
              <w:spacing w:after="0"/>
              <w:rPr>
                <w:sz w:val="20"/>
                <w:szCs w:val="20"/>
                <w:color w:val="auto"/>
              </w:rPr>
            </w:pPr>
            <w:r>
              <w:rPr>
                <w:rFonts w:ascii="Arial" w:cs="Arial" w:eastAsia="Arial" w:hAnsi="Arial"/>
                <w:sz w:val="18"/>
                <w:szCs w:val="18"/>
                <w:color w:val="auto"/>
              </w:rPr>
              <w:t>11.3</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12.2</w:t>
            </w: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7.6</w:t>
            </w:r>
          </w:p>
        </w:tc>
        <w:tc>
          <w:tcPr>
            <w:tcW w:w="25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7.0</w:t>
            </w:r>
          </w:p>
        </w:tc>
        <w:tc>
          <w:tcPr>
            <w:tcW w:w="25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7.5</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w:t>
            </w: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Total operating</w:t>
            </w: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500" w:type="dxa"/>
            <w:vAlign w:val="bottom"/>
            <w:gridSpan w:val="2"/>
          </w:tcPr>
          <w:p>
            <w:pPr>
              <w:jc w:val="right"/>
              <w:ind w:right="1400"/>
              <w:spacing w:after="0"/>
              <w:rPr>
                <w:sz w:val="20"/>
                <w:szCs w:val="20"/>
                <w:color w:val="auto"/>
              </w:rPr>
            </w:pPr>
            <w:r>
              <w:rPr>
                <w:rFonts w:ascii="Arial" w:cs="Arial" w:eastAsia="Arial" w:hAnsi="Arial"/>
                <w:sz w:val="18"/>
                <w:szCs w:val="18"/>
                <w:color w:val="auto"/>
              </w:rPr>
              <w:t>77.5</w:t>
            </w:r>
          </w:p>
        </w:tc>
        <w:tc>
          <w:tcPr>
            <w:tcW w:w="2520" w:type="dxa"/>
            <w:vAlign w:val="bottom"/>
            <w:gridSpan w:val="2"/>
          </w:tcPr>
          <w:p>
            <w:pPr>
              <w:jc w:val="right"/>
              <w:ind w:right="1400"/>
              <w:spacing w:after="0"/>
              <w:rPr>
                <w:sz w:val="20"/>
                <w:szCs w:val="20"/>
                <w:color w:val="auto"/>
              </w:rPr>
            </w:pPr>
            <w:r>
              <w:rPr>
                <w:rFonts w:ascii="Arial" w:cs="Arial" w:eastAsia="Arial" w:hAnsi="Arial"/>
                <w:sz w:val="18"/>
                <w:szCs w:val="18"/>
                <w:color w:val="auto"/>
              </w:rPr>
              <w:t>69.9</w:t>
            </w:r>
          </w:p>
        </w:tc>
        <w:tc>
          <w:tcPr>
            <w:tcW w:w="2520" w:type="dxa"/>
            <w:vAlign w:val="bottom"/>
            <w:gridSpan w:val="2"/>
          </w:tcPr>
          <w:p>
            <w:pPr>
              <w:jc w:val="right"/>
              <w:ind w:right="1420"/>
              <w:spacing w:after="0"/>
              <w:rPr>
                <w:sz w:val="20"/>
                <w:szCs w:val="20"/>
                <w:color w:val="auto"/>
              </w:rPr>
            </w:pPr>
            <w:r>
              <w:rPr>
                <w:rFonts w:ascii="Arial" w:cs="Arial" w:eastAsia="Arial" w:hAnsi="Arial"/>
                <w:sz w:val="18"/>
                <w:szCs w:val="18"/>
                <w:color w:val="auto"/>
              </w:rPr>
              <w:t>73.0</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250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(4.2)</w:t>
            </w:r>
          </w:p>
        </w:tc>
        <w:tc>
          <w:tcPr>
            <w:tcW w:w="25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(4.2)</w:t>
            </w:r>
          </w:p>
        </w:tc>
        <w:tc>
          <w:tcPr>
            <w:tcW w:w="252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(4.8)</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Net income (loss)</w:t>
            </w:r>
          </w:p>
        </w:tc>
        <w:tc>
          <w:tcPr>
            <w:tcW w:w="2500" w:type="dxa"/>
            <w:vAlign w:val="bottom"/>
            <w:gridSpan w:val="2"/>
          </w:tcPr>
          <w:p>
            <w:pPr>
              <w:jc w:val="right"/>
              <w:ind w:right="1340"/>
              <w:spacing w:after="0"/>
              <w:rPr>
                <w:sz w:val="20"/>
                <w:szCs w:val="20"/>
                <w:color w:val="auto"/>
              </w:rPr>
            </w:pPr>
            <w:r>
              <w:rPr>
                <w:rFonts w:ascii="Arial" w:cs="Arial" w:eastAsia="Arial" w:hAnsi="Arial"/>
                <w:sz w:val="18"/>
                <w:szCs w:val="18"/>
                <w:color w:val="auto"/>
              </w:rPr>
              <w:t>(8.6)</w:t>
            </w:r>
          </w:p>
        </w:tc>
        <w:tc>
          <w:tcPr>
            <w:tcW w:w="2520" w:type="dxa"/>
            <w:vAlign w:val="bottom"/>
            <w:gridSpan w:val="2"/>
          </w:tcPr>
          <w:p>
            <w:pPr>
              <w:jc w:val="right"/>
              <w:ind w:right="1400"/>
              <w:spacing w:after="0"/>
              <w:rPr>
                <w:sz w:val="20"/>
                <w:szCs w:val="20"/>
                <w:color w:val="auto"/>
              </w:rPr>
            </w:pPr>
            <w:r>
              <w:rPr>
                <w:rFonts w:ascii="Arial" w:cs="Arial" w:eastAsia="Arial" w:hAnsi="Arial"/>
                <w:sz w:val="18"/>
                <w:szCs w:val="18"/>
                <w:color w:val="auto"/>
              </w:rPr>
              <w:t>2.3</w:t>
            </w:r>
          </w:p>
        </w:tc>
        <w:tc>
          <w:tcPr>
            <w:tcW w:w="2520" w:type="dxa"/>
            <w:vAlign w:val="bottom"/>
            <w:gridSpan w:val="2"/>
          </w:tcPr>
          <w:p>
            <w:pPr>
              <w:jc w:val="right"/>
              <w:ind w:right="1360"/>
              <w:spacing w:after="0"/>
              <w:rPr>
                <w:sz w:val="20"/>
                <w:szCs w:val="20"/>
                <w:color w:val="auto"/>
              </w:rPr>
            </w:pPr>
            <w:r>
              <w:rPr>
                <w:rFonts w:ascii="Arial" w:cs="Arial" w:eastAsia="Arial" w:hAnsi="Arial"/>
                <w:sz w:val="18"/>
                <w:szCs w:val="18"/>
                <w:color w:val="auto"/>
              </w:rPr>
              <w:t>(4.8)</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AND NINE MONTHS ENDED SEPTEMBER 30, 2015 AND 2014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gridSpan w:val="2"/>
          </w:tcPr>
          <w:p>
            <w:pPr>
              <w:ind w:left="640"/>
              <w:spacing w:after="0"/>
              <w:rPr>
                <w:sz w:val="20"/>
                <w:szCs w:val="20"/>
                <w:color w:val="auto"/>
              </w:rPr>
            </w:pPr>
            <w:r>
              <w:rPr>
                <w:rFonts w:ascii="Arial" w:cs="Arial" w:eastAsia="Arial" w:hAnsi="Arial"/>
                <w:sz w:val="18"/>
                <w:szCs w:val="18"/>
                <w:color w:val="auto"/>
              </w:rPr>
              <w:t>Our revenue was derived from the following sources: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FOR THE THREE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6,654</w:t>
            </w:r>
          </w:p>
        </w:tc>
        <w:tc>
          <w:tcPr>
            <w:tcW w:w="24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FOR THE NINE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20,145</w:t>
            </w:r>
          </w:p>
        </w:tc>
        <w:tc>
          <w:tcPr>
            <w:tcW w:w="24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20,105</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and FotoPunch revenues.</w:t>
      </w:r>
    </w:p>
    <w:p>
      <w:pPr>
        <w:sectPr>
          <w:pgSz w:w="11900" w:h="16838" w:orient="portrait"/>
          <w:cols w:equalWidth="0" w:num="1">
            <w:col w:w="11420"/>
          </w:cols>
          <w:pgMar w:left="240" w:top="122"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 for the three months ended September 30, 2015 was $6,654, a decrease of $376 or 5.3%, from the $7,030 reported for the three months ended September 30, 2014. This decrease was primarily due to a decrease in professional services revenue and maintenance and support revenue, offset by a smaller increase in hardware revenue. AsureSpace™ revenue for the three months ended September 30, 2015 was $4,083, a decrease of $317 or 7.2%, from the $4,400 recorded for the three months ended September 30, 2014. The majority of the decrease was in professional services and maintenance and support revenues. Professional services revenue decreased $181 or 20.6% and maintenance and support revenue decreased $124 or 11.6% as compared to the three months ended September 30, 2014. These were offset by an increase in cloud revenue of $96 or 5.5%. We continue to emphasize the sale of integrated cloud based solutions. AsureForce® revenue for the three months ended September 30, 2015 was $2,571, a decrease of $59 or 2.2%, from the $2,630 recorded for the three months ended September 30, 2014. This decrease was primarily in cloud revenue with a decrease of $123 or 7.3% as compared to the three months ended September 30, 2014. Hardware revenue increased $148 or 69.0% as we increased our focus on hardware sales along with software sales.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for the nine months ended September 30, 2015 was $20,145, an increase of $40 or 0.2%, from the $20,105 reported for the nine months ended September 30, 2014. This increase was primarily due to an increase in hardware revenue, offset by decreases in maintenance and support revenue and professional services revenue. AsureSpace™ revenue for the nine months ended September 30, 2015 was $12,114, an increase of $81 or 0.7%, from the $12,033 recorded for the nine months ended September 30, 2014. This increase was primarily due to an increase in cloud revenue and hardware revenue, offset by decreases in maintenance and support, on premise software license and professional services revenue. AsureForce® revenue for the nine months ended September 30, 2015 was $8,032, a decrease of $40 or 0.5%, from the $8,072 recorded for the nine months ended September 30, 2014. On premise software license and hardware revenue increased by $235 or 91.5% and $272 or 36.4%, respectively, offset by a decrease in cloud revenue of $396 or 7.8%, as compared to the nine months ended September 30, 2014.</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our total customer base is widely spread across industries, our sales are concentrated in certain industry sectors, including corporate, education, healthcare, government, legal and non-profit.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workplace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gross margin for the three months ended September 30, 2015 was $4,904, a decrease of $531, or 9.8%, from the $5,435 reported for the three months ended September 30, 2014. Gross margin as a percentage of revenues was 73.7% and 77.3% for the three months ended September 30, 2015 and 2014, respectively. Consolidated gross margin for the nine months ended September 30, 2015 was $14,864, a decrease of $715, or 4.6%, from the $15,579 reported for the nine months ended September 30, 2014. Gross margins as a percentage of revenues were 73.8% and 77.5% for the nine months ended September 30, 2015 and 2014, respectively. The decrease in gross margin percentage is primarily due to a shift in the mix of our revenue between our higher margin and lower margin product lines.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three months ended September 30, 2015 were $3,866, an increase of $313 or 8.8%, from the $3,553 reported for the three months ended September 30, 2014. SG&amp;A expenses as a percentage of revenues were 58.1% and 50.5% for the three months ended September 30, 2015 and 2014,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nine months ended September 30, 2015 were $10,926, an increase of $516 or 5.0%, from the $10,410 reported for the nine months ended September 30, 2014. SG&amp;A expenses as a percentage of revenues were 54.2% and 51.8% for the nine months ended September 30, 2015 and 2014, respectively.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We’ve reorganized our sales team in 2015 to increase our focus on larger deals in the enterprise and global markets, resulting in higher headcount and increased selling expenses, We continue to evaluate any unnecessary expenses and any increases in SG&amp;A are designed to enhance future revenue growth.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(“R&amp;D”) expenses for the three months ended September 30, 2015 were $786, a decrease of $82, or 9.4%, from the $868 reported for the three months ended September 30, 2014. R&amp;D expenses as a percentage of revenues were 11.8% and 12.3% for the three months ended September 30, 2015 and 2014, respectively.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(“R&amp;D”) expenses for the nine months ended September 30, 2015 were $2,267, a decrease of $177, or 7.2%, from the $2,444 reported for the nine months ended September 30, 2014. R&amp;D expenses as a percentage of revenues were 11.3% and 12.2% for the nine months ended September 30, 2015 and 2014, respectively.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both quarter and year to date R&amp;D expenses is due to higher expenses incurred in 2014 from increased headcount and the related placement fees, as well as severance expense for another employee recorded in the second quarter of 2014. The placement fees and severance expenses incurred in 2014 resulted in a decrease as compared to 2015 R&amp;D expenses quarter and year to date in 2015.</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Amortization expenses for the three months ended September 30, 2015 were $505, a slight increase of $11, or 2.2%, from the $494 reported for the three months ended September 30, 2014. Amortization expenses as a percentage of revenues were 7.6% and 7.0% for the three months ended September 30, 2015 and 2014, respectively. Amortization expenses for the nine months ended September 30, 2015 were $1,514, an increase of $26 or 1.7% compared to $1,488, reported for the nine months ended September 30, 2014. Amortization expenses as a percentage of revenues were 7.5% and 7.4% for the nine months ended September 30, 2015 and 2014,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loss for the three months ended September 30, 2015 was $278, a decrease of $18, or 6.1%, from the $296 reported for the three months ended September 30, 2014. Other loss as a percentage of revenues was 4.2% and 4.2% for the three months ended September 30, 2015 and 2014, respectively. Other loss for the three months ended September 30, 2015 is composed primarily of interest expense on notes payable of $277. Other loss for the three months ended September 30, 2014 is composed primarily of interest expense on notes payable of $288.</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loss for the nine months ended September 30, 2015 was $974, a decrease of $477, or 32.9%, from the $1,451 reported for the nine months ended September 30, 2014. Other expense as a percentage of revenues was 4.8% and 7.2% for the nine months ended September 30, 2015 and 2014, respectively. Other loss for the nine months ended September 30, 2015 is composed primarily of interest expense on notes payable of $839 and a loss on lease termination of $110. Other loss for the nine months ended September 30, 2014 is composed primarily of a loss on debt refinancing of $1,402, offset by a gain on the settlement of the PeopleCube litigation of $1,034. Interest expense on notes payable was $1,009 and amortization of OID on notes payable was $64 for the nine months ended September 30,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for the three months ended September 30, 2015 was $43, a decrease of $20, or 31.7%, from the $63 reported for the three months ended September 30, 2014.</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Income tax expense for the nine months ended September 30, 2015 was $145, an increase of $5, or 3.6%, from the $140 reported for the nine months ended September 30, 2014,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incurred a net loss of $574, or $0.09 per share, during the three months ended September 30, 2015, compared to net income of $161 or $0.03 per share reported for the three months ended September 30, 2014. Net loss as a percentage of total revenues was 8.6% for the three months ended September 30, 2015 compared to net income of 2.3% of total revenues for the three months ended September 30,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incurred a net loss of $962, or $(0.16) per share, during the nine months ended September 30, 2015, compared to a net loss of $354 or $(0.06) per share reported for the nine months ended September 30, 2014. Net loss as a percentage of total revenues was 4.8% for the nine months ended September 30, 2015 compared to net loss of 1.8% of total revenues for the nine months ended September 30,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4"/>
        </w:trPr>
        <w:tc>
          <w:tcPr>
            <w:tcW w:w="1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(7,314)</w:t>
            </w:r>
          </w:p>
        </w:tc>
      </w:tr>
      <w:tr>
        <w:trPr>
          <w:trHeight w:val="230"/>
        </w:trPr>
        <w:tc>
          <w:tcPr>
            <w:tcW w:w="14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r>
      <w:tr>
        <w:trPr>
          <w:trHeight w:val="400"/>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7"/>
          </w:tcPr>
          <w:p>
            <w:pPr>
              <w:jc w:val="right"/>
              <w:ind w:right="12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r>
      <w:tr>
        <w:trPr>
          <w:trHeight w:val="216"/>
        </w:trPr>
        <w:tc>
          <w:tcPr>
            <w:tcW w:w="14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(3,449)</w:t>
            </w: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u w:val="single" w:color="auto"/>
          <w:color w:val="auto"/>
        </w:rPr>
        <w:t>Working Capital</w:t>
      </w:r>
      <w:r>
        <w:rPr>
          <w:rFonts w:ascii="Arial" w:cs="Arial" w:eastAsia="Arial" w:hAnsi="Arial"/>
          <w:sz w:val="16"/>
          <w:szCs w:val="16"/>
          <w:color w:val="auto"/>
        </w:rPr>
        <w:t>. We had a working capital deficit of $8,307 at September 30, 2015, an increase in our deficit of $993, or 13.6%, from the $7,314 deficit at December 31, 2014. The working capital deficit at September 30, 2015 and December 31, 2014 includes $10,125 and $10,641 of deferred revenue, respectively. Deferred revenue is an obligation to perform future services. We expect that deferred revenue will convert to reportable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to an increase in accounts payable of $559, an increase in accrued compensation and benefits of $110, an increase in other accrued liabilities of $190 together with a decrease in accounts receivable of $1,047, offset by an increase in inventory of $530, and a decrease in deferred revenue of $516.</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u w:val="single" w:color="auto"/>
          <w:color w:val="auto"/>
        </w:rPr>
        <w:t>Operating Activities</w:t>
      </w:r>
      <w:r>
        <w:rPr>
          <w:rFonts w:ascii="Arial" w:cs="Arial" w:eastAsia="Arial" w:hAnsi="Arial"/>
          <w:sz w:val="16"/>
          <w:szCs w:val="16"/>
          <w:color w:val="auto"/>
        </w:rPr>
        <w:t>. Cash provided by operating activities was $1,993 for the nine months ended September 30, 2015. The $1,993 of cash provided by operating activities during the first nine months of 2015 was primarily driven by net income (after adjustment for non-cash items) of $1,799, a decrease in accounts receivable of $977, and an increase in accounts payable of $542 and accrued expenses of $354. This was offset by an increase in inventory of $530, an increase in prepaid expenses and other assets of $927, and a decrease in deferred revenue of $222. The $1,671 of cash provided by operating activities during the first nine months of 2014 was primarily driven by the net income (after adjustment for non-cash items) of $2,289, a decrease in accounts receivable of $182, an increase in accrued expenses and other long-term obligations of $150 and the release of restricted cash of $400, offset by a decrease in deferred revenue of $1,015, and an increase in inventory and prepaid expense and other assets of $241 and $122, respectively.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$1,272 for the nine months ended September 30, 2015 due primarily to net purchases of property and equipment. Cash used in investing activities was $3,449 for the nine months ended September 30, 2014 due primarily to the acquisitions of FotoPunch and Roomtag in the third quarter of 2014.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Financing Activities</w:t>
      </w:r>
      <w:r>
        <w:rPr>
          <w:rFonts w:ascii="Arial" w:cs="Arial" w:eastAsia="Arial" w:hAnsi="Arial"/>
          <w:sz w:val="17"/>
          <w:szCs w:val="17"/>
          <w:color w:val="auto"/>
        </w:rPr>
        <w:t>. Cash provided by financing activities was $914 for the nine months ended September 30, 2015. We incurred $4,250 of debt and collected $585 of net proceeds from exercise of stock options. This was offset by note payments of $5,527, payments on capital leases of $147, and debt financing fees of $75. Cash used in financing activities was $520 for the nine months ended September 30, 2014. We incurred $18,179 of debt, as well as received cash of $373 from insurance proceeds for settlement of notes payable, net of expenses. This was offset by note payments of $17,723, payments on amendment of senior notes payable of $704, and debt financing fees of $565.</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Sources of Liquidity</w:t>
      </w:r>
      <w:r>
        <w:rPr>
          <w:rFonts w:ascii="Arial" w:cs="Arial" w:eastAsia="Arial" w:hAnsi="Arial"/>
          <w:sz w:val="16"/>
          <w:szCs w:val="16"/>
          <w:color w:val="auto"/>
        </w:rPr>
        <w:t>. As of September 30, 2015, Asure’s principal sources of liquidity consisted of approximately $122 of cash and cash equivalents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2014. For additional information on critical accounting policies, refer to “Management’s Discussion and Analysis” in our 2014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September 30, 2015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ended September 30, 2015, there were no changes in our internal control over financial reporting that have materially affected, or are reasonably likely to materially affect, our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4"/>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76"/>
        </w:trPr>
        <w:tc>
          <w:tcPr>
            <w:tcW w:w="116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40" w:type="dxa"/>
            <w:vAlign w:val="bottom"/>
            <w:tcBorders>
              <w:bottom w:val="single" w:sz="8" w:color="0000EE"/>
            </w:tcBorders>
            <w:gridSpan w:val="4"/>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Fourth Amendment to Credit Agreement effective as of November 11, 2015 by and among Wells Fargo Bank, National Association, as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Administrative Agent, the Lenders that are parties Hereto as the Lenders, and Asure Software, Inc., as Borrower.</w:t>
              </w:r>
            </w:hyperlink>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8120" w:type="dxa"/>
            <w:vAlign w:val="bottom"/>
            <w:tcBorders>
              <w:top w:val="single" w:sz="8" w:color="0000EE"/>
            </w:tcBorders>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pursuant to Section 302 of the Sarbanes-Oxley Act of 2002.</w:t>
              </w:r>
            </w:hyperlink>
          </w:p>
        </w:tc>
        <w:tc>
          <w:tcPr>
            <w:tcW w:w="2040" w:type="dxa"/>
            <w:vAlign w:val="bottom"/>
            <w:gridSpan w:val="2"/>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4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40" w:type="dxa"/>
            <w:vAlign w:val="bottom"/>
          </w:tcPr>
          <w:p>
            <w:pPr>
              <w:spacing w:after="0"/>
              <w:rPr>
                <w:sz w:val="24"/>
                <w:szCs w:val="24"/>
                <w:color w:val="auto"/>
              </w:rPr>
            </w:pP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Arial" w:cs="Arial" w:eastAsia="Arial" w:hAnsi="Arial"/>
                <w:sz w:val="18"/>
                <w:szCs w:val="18"/>
                <w:color w:val="auto"/>
                <w:w w:val="93"/>
              </w:rPr>
              <w:t>The following materials from Asure Software, Inc.’s Quarterly Report on Form 10-Q for the quarter ended September 30, 2015, formatted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5"/>
          </w:tcPr>
          <w:p>
            <w:pPr>
              <w:spacing w:after="0"/>
              <w:rPr>
                <w:sz w:val="20"/>
                <w:szCs w:val="20"/>
                <w:color w:val="auto"/>
              </w:rPr>
            </w:pPr>
            <w:r>
              <w:rPr>
                <w:rFonts w:ascii="Arial" w:cs="Arial" w:eastAsia="Arial" w:hAnsi="Arial"/>
                <w:sz w:val="18"/>
                <w:szCs w:val="18"/>
                <w:color w:val="auto"/>
                <w:w w:val="93"/>
              </w:rPr>
              <w:t>in XBRL (Extensible Business Reporting Language): (1) the Condensed Consolidated Balance Sheets, (2) the Condensed Consolidated</w:t>
            </w:r>
          </w:p>
        </w:tc>
      </w:tr>
    </w:tbl>
    <w:p>
      <w:pPr>
        <w:ind w:left="1260" w:right="40"/>
        <w:spacing w:after="0" w:line="261" w:lineRule="auto"/>
        <w:rPr>
          <w:sz w:val="20"/>
          <w:szCs w:val="20"/>
          <w:color w:val="auto"/>
        </w:rPr>
      </w:pPr>
      <w:r>
        <w:rPr>
          <w:rFonts w:ascii="Arial" w:cs="Arial" w:eastAsia="Arial" w:hAnsi="Arial"/>
          <w:sz w:val="18"/>
          <w:szCs w:val="18"/>
          <w:color w:val="auto"/>
        </w:rPr>
        <w:t>Statements of Comprehensive Loss, (3) the Condensed Consolidated Statements of Cash Flows, and (4) Notes to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420" w:type="dxa"/>
            <w:vAlign w:val="bottom"/>
            <w:gridSpan w:val="2"/>
          </w:tcPr>
          <w:p>
            <w:pPr>
              <w:ind w:left="1860"/>
              <w:spacing w:after="0"/>
              <w:rPr>
                <w:sz w:val="20"/>
                <w:szCs w:val="20"/>
                <w:color w:val="auto"/>
              </w:rPr>
            </w:pPr>
            <w:r>
              <w:rPr>
                <w:rFonts w:ascii="Arial" w:cs="Arial" w:eastAsia="Arial" w:hAnsi="Arial"/>
                <w:sz w:val="18"/>
                <w:szCs w:val="18"/>
                <w:b w:val="1"/>
                <w:bCs w:val="1"/>
                <w:color w:val="auto"/>
              </w:rPr>
              <w:t>ASURE SOFTWARE, INC.</w:t>
            </w:r>
          </w:p>
        </w:tc>
      </w:tr>
      <w:tr>
        <w:trPr>
          <w:trHeight w:val="655"/>
        </w:trPr>
        <w:tc>
          <w:tcPr>
            <w:tcW w:w="3300" w:type="dxa"/>
            <w:vAlign w:val="bottom"/>
          </w:tcPr>
          <w:p>
            <w:pPr>
              <w:spacing w:after="0"/>
              <w:rPr>
                <w:sz w:val="20"/>
                <w:szCs w:val="20"/>
                <w:color w:val="auto"/>
              </w:rPr>
            </w:pPr>
            <w:r>
              <w:rPr>
                <w:rFonts w:ascii="Arial" w:cs="Arial" w:eastAsia="Arial" w:hAnsi="Arial"/>
                <w:sz w:val="18"/>
                <w:szCs w:val="18"/>
                <w:color w:val="auto"/>
              </w:rPr>
              <w:t>November 16, 2015</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r>
      <w:tr>
        <w:trPr>
          <w:trHeight w:val="202"/>
        </w:trPr>
        <w:tc>
          <w:tcPr>
            <w:tcW w:w="3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Patrick Goepel</w:t>
            </w:r>
          </w:p>
        </w:tc>
      </w:tr>
      <w:tr>
        <w:trPr>
          <w:trHeight w:val="230"/>
        </w:trPr>
        <w:tc>
          <w:tcPr>
            <w:tcW w:w="3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3300" w:type="dxa"/>
            <w:vAlign w:val="bottom"/>
          </w:tcPr>
          <w:p>
            <w:pPr>
              <w:spacing w:after="0"/>
              <w:rPr>
                <w:sz w:val="20"/>
                <w:szCs w:val="20"/>
                <w:color w:val="auto"/>
              </w:rPr>
            </w:pPr>
            <w:r>
              <w:rPr>
                <w:rFonts w:ascii="Arial" w:cs="Arial" w:eastAsia="Arial" w:hAnsi="Arial"/>
                <w:sz w:val="18"/>
                <w:szCs w:val="18"/>
                <w:color w:val="auto"/>
              </w:rPr>
              <w:t>November 16, 2015</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r>
      <w:tr>
        <w:trPr>
          <w:trHeight w:val="202"/>
        </w:trPr>
        <w:tc>
          <w:tcPr>
            <w:tcW w:w="3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Brad Wolfe</w:t>
            </w:r>
          </w:p>
        </w:tc>
      </w:tr>
      <w:tr>
        <w:trPr>
          <w:trHeight w:val="230"/>
        </w:trPr>
        <w:tc>
          <w:tcPr>
            <w:tcW w:w="3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ind w:left="35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5"/>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Fourth Amendment to Credit Agreement effective as of November 11, 2015 by and among Wells Fargo Bank, National Association, as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Administrative Agent, the Lenders that are parties Hereto as the Lenders, and Asure Software, Inc., as Borrower.</w:t>
              </w:r>
            </w:hyperlink>
          </w:p>
        </w:tc>
        <w:tc>
          <w:tcPr>
            <w:tcW w:w="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tcBorders>
              <w:top w:val="single" w:sz="8" w:color="0000EE"/>
            </w:tcBorders>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pursuant to Section 302 of the Sarbanes-Oxley Act of 2002.</w:t>
              </w:r>
            </w:hyperlink>
          </w:p>
        </w:tc>
        <w:tc>
          <w:tcPr>
            <w:tcW w:w="204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40" w:type="dxa"/>
            <w:vAlign w:val="bottom"/>
            <w:gridSpan w:val="2"/>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w w:val="93"/>
              </w:rPr>
              <w:t>The following materials from Asure Software, Inc.’s Quarterly Report on Form 10-Q for the quarter ended September 30, 2015, formatted</w:t>
            </w:r>
          </w:p>
        </w:tc>
      </w:tr>
    </w:tbl>
    <w:p>
      <w:pPr>
        <w:jc w:val="both"/>
        <w:ind w:left="1260" w:right="20"/>
        <w:spacing w:after="0" w:line="255" w:lineRule="auto"/>
        <w:rPr>
          <w:sz w:val="20"/>
          <w:szCs w:val="20"/>
          <w:color w:val="auto"/>
        </w:rPr>
      </w:pPr>
      <w:r>
        <w:rPr>
          <w:rFonts w:ascii="Arial" w:cs="Arial" w:eastAsia="Arial" w:hAnsi="Arial"/>
          <w:sz w:val="18"/>
          <w:szCs w:val="18"/>
          <w:color w:val="auto"/>
        </w:rPr>
        <w:t>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FOUR TO CREDIT AGREEMENT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AMENDMENT NUMBER FOUR TO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November 11, 2015, is entered into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administrative agent for the Lenders (in such capacity, together with its successors and assigns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each Lender party hereto, and </w:t>
      </w:r>
      <w:r>
        <w:rPr>
          <w:rFonts w:ascii="Arial" w:cs="Arial" w:eastAsia="Arial" w:hAnsi="Arial"/>
          <w:sz w:val="18"/>
          <w:szCs w:val="18"/>
          <w:b w:val="1"/>
          <w:bCs w:val="1"/>
          <w:color w:val="auto"/>
        </w:rPr>
        <w:t>ASURE SOFTWARE,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83" w:lineRule="exact"/>
        <w:rPr>
          <w:sz w:val="20"/>
          <w:szCs w:val="20"/>
          <w:color w:val="auto"/>
        </w:rPr>
      </w:pPr>
    </w:p>
    <w:p>
      <w:pPr>
        <w:jc w:val="both"/>
        <w:ind w:firstLine="656"/>
        <w:spacing w:after="0" w:line="259" w:lineRule="auto"/>
        <w:tabs>
          <w:tab w:leader="none" w:pos="1039"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Borrower, Agent and the financial institutions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have previously entered into that certain Credit Agreement, dated as of March 20, 2014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Lenders have made certain loans and financial accommodations available to Borrower. Capitalized terms used herein without definition shall have the meanings ascribed thereto in the Credit Agreement.</w:t>
      </w:r>
    </w:p>
    <w:p>
      <w:pPr>
        <w:spacing w:after="0" w:line="240" w:lineRule="exact"/>
        <w:rPr>
          <w:rFonts w:ascii="Arial" w:cs="Arial" w:eastAsia="Arial" w:hAnsi="Arial"/>
          <w:sz w:val="18"/>
          <w:szCs w:val="18"/>
          <w:color w:val="auto"/>
        </w:rPr>
      </w:pPr>
    </w:p>
    <w:p>
      <w:pPr>
        <w:ind w:firstLine="656"/>
        <w:spacing w:after="0" w:line="277" w:lineRule="auto"/>
        <w:tabs>
          <w:tab w:leader="none" w:pos="1043"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Borrower has requested that Agent and the Lenders amend the Credit Agreement make certain amendments to the Credit Agreement. The Lender Group has agreed to such amendment pursuant to the terms hereunder.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224" w:lineRule="exact"/>
        <w:rPr>
          <w:sz w:val="20"/>
          <w:szCs w:val="20"/>
          <w:color w:val="auto"/>
        </w:rPr>
      </w:pPr>
    </w:p>
    <w:p>
      <w:pPr>
        <w:ind w:left="1180" w:hanging="52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upon the Fourth Amendment Effective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w:t>
      </w:r>
    </w:p>
    <w:p>
      <w:pPr>
        <w:spacing w:after="0" w:line="279" w:lineRule="exact"/>
        <w:rPr>
          <w:sz w:val="20"/>
          <w:szCs w:val="20"/>
          <w:color w:val="auto"/>
        </w:rPr>
      </w:pPr>
    </w:p>
    <w:p>
      <w:pPr>
        <w:ind w:left="1400" w:hanging="420"/>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Credit Agreement is hereby amended by adding the following new definitions in alphabetical order:</w:t>
      </w:r>
    </w:p>
    <w:p>
      <w:pPr>
        <w:spacing w:after="0" w:line="252"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means that certain Amendment Number Four to Credit Agreement, dated November 11, 2015, among Agent, each Lender, and Borrower.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means November 11, 2015.</w:t>
      </w:r>
    </w:p>
    <w:p>
      <w:pPr>
        <w:spacing w:after="0" w:line="279" w:lineRule="exact"/>
        <w:rPr>
          <w:sz w:val="20"/>
          <w:szCs w:val="20"/>
          <w:color w:val="auto"/>
        </w:rPr>
      </w:pPr>
    </w:p>
    <w:p>
      <w:pPr>
        <w:ind w:firstLine="980"/>
        <w:spacing w:after="0" w:line="277" w:lineRule="auto"/>
        <w:tabs>
          <w:tab w:leader="none" w:pos="141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Credit Agreement is hereby amended by deleting the definition of “Applicable Margin” therein and replacing such definition with the following:</w:t>
      </w:r>
    </w:p>
    <w:p>
      <w:pPr>
        <w:spacing w:after="0" w:line="19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as of any date of determination and with respect to Base Rate Loans or LIBOR Rate Loans, as applicable, the applicable margin set forth in the following table that corresponds to the most recent Leverage Ratio calculation delivered to Agent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Agreement (the “</w:t>
      </w:r>
      <w:r>
        <w:rPr>
          <w:rFonts w:ascii="Arial" w:cs="Arial" w:eastAsia="Arial" w:hAnsi="Arial"/>
          <w:sz w:val="18"/>
          <w:szCs w:val="18"/>
          <w:u w:val="single" w:color="auto"/>
          <w:color w:val="auto"/>
        </w:rPr>
        <w:t>Leverage Ratio Calculation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period from the Fourth Amendment Effective Date through the date Agent receives the Leverage Ratio Calculation in respect of the testing period ending September 30, 2016, the Applicable Margin shall be set at the margin in the row styled “</w:t>
      </w:r>
      <w:r>
        <w:rPr>
          <w:rFonts w:ascii="Arial" w:cs="Arial" w:eastAsia="Arial" w:hAnsi="Arial"/>
          <w:sz w:val="18"/>
          <w:szCs w:val="18"/>
          <w:u w:val="single" w:color="auto"/>
          <w:color w:val="auto"/>
        </w:rPr>
        <w:t>Level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time an Event of Default has occurred and is continuing, the Applicable Margin shall be set at the margin in the row styled “</w:t>
      </w:r>
      <w:r>
        <w:rPr>
          <w:rFonts w:ascii="Arial" w:cs="Arial" w:eastAsia="Arial" w:hAnsi="Arial"/>
          <w:sz w:val="18"/>
          <w:szCs w:val="18"/>
          <w:u w:val="single" w:color="auto"/>
          <w:color w:val="auto"/>
        </w:rPr>
        <w:t>Level IV</w:t>
      </w:r>
      <w:r>
        <w:rPr>
          <w:rFonts w:ascii="Arial" w:cs="Arial" w:eastAsia="Arial" w:hAnsi="Arial"/>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112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91"/>
              </w:rPr>
              <w:t>Applicable Margin Relative to Base Rate</w:t>
            </w: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Applicable Margin Relative to LIBOR</w:t>
            </w: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Level</w:t>
            </w:r>
          </w:p>
        </w:tc>
        <w:tc>
          <w:tcPr>
            <w:tcW w:w="38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Leverage Ratio Calculation</w:t>
            </w:r>
          </w:p>
        </w:tc>
        <w:tc>
          <w:tcPr>
            <w:tcW w:w="33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2"/>
              </w:rPr>
              <w:t>Loans (the “Base Rate Margin”)</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Rate Loans (the “LIBOR Rate Margin”)</w:t>
            </w:r>
          </w:p>
        </w:tc>
      </w:tr>
      <w:tr>
        <w:trPr>
          <w:trHeight w:val="202"/>
        </w:trPr>
        <w:tc>
          <w:tcPr>
            <w:tcW w:w="1120" w:type="dxa"/>
            <w:vAlign w:val="bottom"/>
          </w:tcPr>
          <w:p>
            <w:pPr>
              <w:spacing w:after="0"/>
              <w:rPr>
                <w:sz w:val="17"/>
                <w:szCs w:val="17"/>
                <w:color w:val="auto"/>
              </w:rPr>
            </w:pPr>
          </w:p>
        </w:tc>
        <w:tc>
          <w:tcPr>
            <w:tcW w:w="3800" w:type="dxa"/>
            <w:vAlign w:val="bottom"/>
          </w:tcPr>
          <w:p>
            <w:pPr>
              <w:ind w:left="320"/>
              <w:spacing w:after="0" w:line="201" w:lineRule="exact"/>
              <w:rPr>
                <w:sz w:val="20"/>
                <w:szCs w:val="20"/>
                <w:color w:val="auto"/>
              </w:rPr>
            </w:pPr>
            <w:r>
              <w:rPr>
                <w:rFonts w:ascii="Arial" w:cs="Arial" w:eastAsia="Arial" w:hAnsi="Arial"/>
                <w:sz w:val="18"/>
                <w:szCs w:val="18"/>
                <w:color w:val="auto"/>
                <w:w w:val="98"/>
              </w:rPr>
              <w:t>If the Leverage Ratio is less than or equal to</w:t>
            </w:r>
          </w:p>
        </w:tc>
        <w:tc>
          <w:tcPr>
            <w:tcW w:w="33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8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2.25:1.00</w:t>
            </w:r>
          </w:p>
        </w:tc>
        <w:tc>
          <w:tcPr>
            <w:tcW w:w="3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2.00 percentage points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3.00 percentage points</w:t>
            </w:r>
          </w:p>
        </w:tc>
      </w:tr>
      <w:tr>
        <w:trPr>
          <w:trHeight w:val="202"/>
        </w:trPr>
        <w:tc>
          <w:tcPr>
            <w:tcW w:w="1120" w:type="dxa"/>
            <w:vAlign w:val="bottom"/>
          </w:tcPr>
          <w:p>
            <w:pPr>
              <w:spacing w:after="0"/>
              <w:rPr>
                <w:sz w:val="17"/>
                <w:szCs w:val="17"/>
                <w:color w:val="auto"/>
              </w:rPr>
            </w:pPr>
          </w:p>
        </w:tc>
        <w:tc>
          <w:tcPr>
            <w:tcW w:w="3800" w:type="dxa"/>
            <w:vAlign w:val="bottom"/>
          </w:tcPr>
          <w:p>
            <w:pPr>
              <w:ind w:left="320"/>
              <w:spacing w:after="0" w:line="201" w:lineRule="exact"/>
              <w:rPr>
                <w:sz w:val="20"/>
                <w:szCs w:val="20"/>
                <w:color w:val="auto"/>
              </w:rPr>
            </w:pPr>
            <w:r>
              <w:rPr>
                <w:rFonts w:ascii="Arial" w:cs="Arial" w:eastAsia="Arial" w:hAnsi="Arial"/>
                <w:sz w:val="18"/>
                <w:szCs w:val="18"/>
                <w:color w:val="auto"/>
              </w:rPr>
              <w:t>If the Leverage Ratio is greater than</w:t>
            </w:r>
          </w:p>
        </w:tc>
        <w:tc>
          <w:tcPr>
            <w:tcW w:w="33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38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6"/>
              </w:rPr>
              <w:t>2.25:1.00 and less than or equal to 2.75:1.00</w:t>
            </w:r>
          </w:p>
        </w:tc>
        <w:tc>
          <w:tcPr>
            <w:tcW w:w="3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2.50 percentage points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3.50 percentage points</w:t>
            </w:r>
          </w:p>
        </w:tc>
      </w:tr>
      <w:tr>
        <w:trPr>
          <w:trHeight w:val="202"/>
        </w:trPr>
        <w:tc>
          <w:tcPr>
            <w:tcW w:w="1120" w:type="dxa"/>
            <w:vAlign w:val="bottom"/>
          </w:tcPr>
          <w:p>
            <w:pPr>
              <w:spacing w:after="0"/>
              <w:rPr>
                <w:sz w:val="17"/>
                <w:szCs w:val="17"/>
                <w:color w:val="auto"/>
              </w:rPr>
            </w:pPr>
          </w:p>
        </w:tc>
        <w:tc>
          <w:tcPr>
            <w:tcW w:w="3800" w:type="dxa"/>
            <w:vAlign w:val="bottom"/>
          </w:tcPr>
          <w:p>
            <w:pPr>
              <w:ind w:left="320"/>
              <w:spacing w:after="0" w:line="201" w:lineRule="exact"/>
              <w:rPr>
                <w:sz w:val="20"/>
                <w:szCs w:val="20"/>
                <w:color w:val="auto"/>
              </w:rPr>
            </w:pPr>
            <w:r>
              <w:rPr>
                <w:rFonts w:ascii="Arial" w:cs="Arial" w:eastAsia="Arial" w:hAnsi="Arial"/>
                <w:sz w:val="18"/>
                <w:szCs w:val="18"/>
                <w:color w:val="auto"/>
              </w:rPr>
              <w:t>If the Leverage Ratio is greater than</w:t>
            </w:r>
          </w:p>
        </w:tc>
        <w:tc>
          <w:tcPr>
            <w:tcW w:w="33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38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6"/>
              </w:rPr>
              <w:t>2.75:1.00 and less than or equal to 3.25:1.00</w:t>
            </w:r>
          </w:p>
        </w:tc>
        <w:tc>
          <w:tcPr>
            <w:tcW w:w="3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3.00 percentage points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4.00 percentage points</w:t>
            </w:r>
          </w:p>
        </w:tc>
      </w:tr>
      <w:tr>
        <w:trPr>
          <w:trHeight w:val="202"/>
        </w:trPr>
        <w:tc>
          <w:tcPr>
            <w:tcW w:w="1120" w:type="dxa"/>
            <w:vAlign w:val="bottom"/>
          </w:tcPr>
          <w:p>
            <w:pPr>
              <w:spacing w:after="0"/>
              <w:rPr>
                <w:sz w:val="17"/>
                <w:szCs w:val="17"/>
                <w:color w:val="auto"/>
              </w:rPr>
            </w:pPr>
          </w:p>
        </w:tc>
        <w:tc>
          <w:tcPr>
            <w:tcW w:w="3800" w:type="dxa"/>
            <w:vAlign w:val="bottom"/>
          </w:tcPr>
          <w:p>
            <w:pPr>
              <w:ind w:left="320"/>
              <w:spacing w:after="0" w:line="201" w:lineRule="exact"/>
              <w:rPr>
                <w:sz w:val="20"/>
                <w:szCs w:val="20"/>
                <w:color w:val="auto"/>
              </w:rPr>
            </w:pPr>
            <w:r>
              <w:rPr>
                <w:rFonts w:ascii="Arial" w:cs="Arial" w:eastAsia="Arial" w:hAnsi="Arial"/>
                <w:sz w:val="18"/>
                <w:szCs w:val="18"/>
                <w:color w:val="auto"/>
              </w:rPr>
              <w:t>If the Leverage Ratio is greater than</w:t>
            </w:r>
          </w:p>
        </w:tc>
        <w:tc>
          <w:tcPr>
            <w:tcW w:w="33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38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3.25:1.00</w:t>
            </w:r>
          </w:p>
        </w:tc>
        <w:tc>
          <w:tcPr>
            <w:tcW w:w="3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3.50 percentage points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4.50 percentage points</w:t>
            </w:r>
          </w:p>
        </w:tc>
      </w:tr>
    </w:tbl>
    <w:p>
      <w:pPr>
        <w:spacing w:after="0" w:line="229"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7"/>
          <w:szCs w:val="17"/>
          <w:color w:val="auto"/>
        </w:rPr>
        <w:t xml:space="preserve">Except as set forth in the foregoing proviso, the Applicable Margin shall be based upon the most recent Leverage Ratio Calculation, which will be calculated as of the end of each fiscal quarter. Except as set forth in the foregoing proviso, the Applicable Margin shall be re-determined quarterly on the first day of the month following the date of delivery to Agent of the certified calculation of the Leverage Ratio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if Borrower fails to provide such certification when such certification is due, the Applicable Margin shall be set at the margin in the row styled “</w:t>
      </w:r>
      <w:r>
        <w:rPr>
          <w:rFonts w:ascii="Arial" w:cs="Arial" w:eastAsia="Arial" w:hAnsi="Arial"/>
          <w:sz w:val="17"/>
          <w:szCs w:val="17"/>
          <w:u w:val="single" w:color="auto"/>
          <w:color w:val="auto"/>
        </w:rPr>
        <w:t>Level IV</w:t>
      </w:r>
      <w:r>
        <w:rPr>
          <w:rFonts w:ascii="Arial" w:cs="Arial" w:eastAsia="Arial" w:hAnsi="Arial"/>
          <w:sz w:val="17"/>
          <w:szCs w:val="17"/>
          <w:color w:val="auto"/>
        </w:rPr>
        <w:t xml:space="preserve">” as of the first day of the month following the date on which the certification was required to be delivered until the date on which such certification is delivered (on which date (but not retroactively), without constituting a waiver of any Default or Event of Default occasioned by the failure to timely deliver such certification, the Applicable Margin shall be set at the margin based upon the calculations disclosed by such certification. In the event that the information regarding the Leverage Ratio contained in any certificate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the Agreement is shown to be inaccurate, and such inaccuracy, if corrected, would have led to the application of a higher Applicable Margin for any period (an “</w:t>
      </w:r>
      <w:r>
        <w:rPr>
          <w:rFonts w:ascii="Arial" w:cs="Arial" w:eastAsia="Arial" w:hAnsi="Arial"/>
          <w:sz w:val="17"/>
          <w:szCs w:val="17"/>
          <w:u w:val="single" w:color="auto"/>
          <w:color w:val="auto"/>
        </w:rPr>
        <w:t>Applicable Period</w:t>
      </w:r>
      <w:r>
        <w:rPr>
          <w:rFonts w:ascii="Arial" w:cs="Arial" w:eastAsia="Arial" w:hAnsi="Arial"/>
          <w:sz w:val="17"/>
          <w:szCs w:val="17"/>
          <w:color w:val="auto"/>
        </w:rPr>
        <w:t>”) than the Applicable Margin actually applied for such Applicable Period, then (i) Borrower shall immediately deliver to Agent a correct certificate for such Applicable Period, (ii) the Applicable Margin shall be determined as if the correct Applicable Margin (as set forth in the table above) were applicable for such Applicable Period, and (iii) Borrower shall immediately deliver to Agent full payment in respect of the accrued additional interest as a result of such increased Applicable Margin for such Applicable Period, which payment shall be promptly applied by Agent to the affected Obligations.</w:t>
      </w:r>
    </w:p>
    <w:p>
      <w:pPr>
        <w:spacing w:after="0" w:line="212" w:lineRule="exact"/>
        <w:rPr>
          <w:sz w:val="20"/>
          <w:szCs w:val="20"/>
          <w:color w:val="auto"/>
        </w:rPr>
      </w:pPr>
    </w:p>
    <w:p>
      <w:pPr>
        <w:ind w:right="20" w:firstLine="656"/>
        <w:spacing w:after="0" w:line="277" w:lineRule="auto"/>
        <w:tabs>
          <w:tab w:leader="none" w:pos="125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Conditions Precedent to Amendment Number Four</w:t>
      </w:r>
      <w:r>
        <w:rPr>
          <w:rFonts w:ascii="Arial" w:cs="Arial" w:eastAsia="Arial" w:hAnsi="Arial"/>
          <w:sz w:val="18"/>
          <w:szCs w:val="18"/>
          <w:color w:val="auto"/>
        </w:rPr>
        <w:t>. This Amendment shall become effective as of the date hereof (such date, the “</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upon satisfaction or waiver by the Lender Group of each of the following conditions precedent:</w:t>
      </w:r>
    </w:p>
    <w:p>
      <w:pPr>
        <w:spacing w:after="0" w:line="224" w:lineRule="exact"/>
        <w:rPr>
          <w:rFonts w:ascii="Arial" w:cs="Arial" w:eastAsia="Arial" w:hAnsi="Arial"/>
          <w:sz w:val="18"/>
          <w:szCs w:val="18"/>
          <w:color w:val="auto"/>
        </w:rPr>
      </w:pPr>
    </w:p>
    <w:p>
      <w:pPr>
        <w:ind w:left="1400" w:hanging="420"/>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Certain Documents</w:t>
      </w:r>
      <w:r>
        <w:rPr>
          <w:rFonts w:ascii="Arial" w:cs="Arial" w:eastAsia="Arial" w:hAnsi="Arial"/>
          <w:sz w:val="18"/>
          <w:szCs w:val="18"/>
          <w:color w:val="auto"/>
        </w:rPr>
        <w:t>. Agent shall have received this Amendment, duly executed by Borrower.</w:t>
      </w:r>
    </w:p>
    <w:p>
      <w:pPr>
        <w:spacing w:after="0" w:line="279" w:lineRule="exact"/>
        <w:rPr>
          <w:rFonts w:ascii="Arial" w:cs="Arial" w:eastAsia="Arial" w:hAnsi="Arial"/>
          <w:sz w:val="18"/>
          <w:szCs w:val="18"/>
          <w:color w:val="auto"/>
        </w:rPr>
      </w:pPr>
    </w:p>
    <w:p>
      <w:pPr>
        <w:jc w:val="both"/>
        <w:ind w:firstLine="980"/>
        <w:spacing w:after="0" w:line="259" w:lineRule="auto"/>
        <w:tabs>
          <w:tab w:leader="none" w:pos="141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Immediately after giving effect to this Amendment, except to the extent any such representation and warranty solely relates to an earlier specified date, the representations and warranties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shall be true and correct in all material respects (except that such materiality qualifier shall not be applicable to any portion of any representation and warranty that already is qualified or modified by materiality in the text thereof).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7" w:name="page28"/>
    <w:bookmarkEnd w:id="27"/>
    <w:p>
      <w:pPr>
        <w:jc w:val="both"/>
        <w:ind w:firstLine="980"/>
        <w:spacing w:after="0" w:line="264" w:lineRule="auto"/>
        <w:tabs>
          <w:tab w:leader="none" w:pos="138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Fees and Expenses Paid</w:t>
      </w:r>
      <w:r>
        <w:rPr>
          <w:rFonts w:ascii="Arial" w:cs="Arial" w:eastAsia="Arial" w:hAnsi="Arial"/>
          <w:sz w:val="18"/>
          <w:szCs w:val="18"/>
          <w:color w:val="auto"/>
        </w:rPr>
        <w:t>. There shall have been paid to Agent for the account of Agent, all fees and expenses (including fees and expenses of counsel to Agent) incurred in connection with this Amendment and the transactions contemplated hereby, and all other fees and expenses due and payable on or before the date hereof under any Loan Document.</w:t>
      </w:r>
    </w:p>
    <w:p>
      <w:pPr>
        <w:spacing w:after="0" w:line="208" w:lineRule="exact"/>
        <w:rPr>
          <w:rFonts w:ascii="Arial" w:cs="Arial" w:eastAsia="Arial" w:hAnsi="Arial"/>
          <w:sz w:val="18"/>
          <w:szCs w:val="18"/>
          <w:color w:val="auto"/>
        </w:rPr>
      </w:pPr>
    </w:p>
    <w:p>
      <w:pPr>
        <w:ind w:left="1020" w:hanging="36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represents and warrants as follows:</w:t>
      </w:r>
    </w:p>
    <w:p>
      <w:pPr>
        <w:spacing w:after="0" w:line="279" w:lineRule="exact"/>
        <w:rPr>
          <w:rFonts w:ascii="Arial" w:cs="Arial" w:eastAsia="Arial" w:hAnsi="Arial"/>
          <w:sz w:val="18"/>
          <w:szCs w:val="18"/>
          <w:color w:val="auto"/>
        </w:rPr>
      </w:pPr>
    </w:p>
    <w:p>
      <w:pPr>
        <w:jc w:val="both"/>
        <w:ind w:firstLine="980"/>
        <w:spacing w:after="0" w:line="259" w:lineRule="auto"/>
        <w:tabs>
          <w:tab w:leader="none" w:pos="1388"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Borrower has the requisite corporate power and authority to execute and deliver this Amendment, and to perform its obligations hereunder and under the Loan Documents (as amended hereby) to which it is a party. The execution, delivery and performance by Borrower of this Amendment has been duly approved by all necessary corporate action, have received all necessary governmental approval, if any, and do not contravene any law or any contractual restrictions binding on Borrower.</w:t>
      </w:r>
    </w:p>
    <w:p>
      <w:pPr>
        <w:spacing w:after="0" w:line="240" w:lineRule="exact"/>
        <w:rPr>
          <w:rFonts w:ascii="Arial" w:cs="Arial" w:eastAsia="Arial" w:hAnsi="Arial"/>
          <w:sz w:val="18"/>
          <w:szCs w:val="18"/>
          <w:color w:val="auto"/>
        </w:rPr>
      </w:pPr>
    </w:p>
    <w:p>
      <w:pPr>
        <w:jc w:val="both"/>
        <w:ind w:firstLine="980"/>
        <w:spacing w:after="0" w:line="276" w:lineRule="auto"/>
        <w:tabs>
          <w:tab w:leader="none" w:pos="1398"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This Amendment has been duly executed and delivered by Borrower. Each of this Amendment and the Credit Agreement (as amended or modified hereby) is the legal, valid and binding obligation of Borrower, enforceable against Borrower in accordance with its terms, and is in full force and effect, except to the extent that (i) the enforceability thereof may be limited by bankruptcy, insolvency, reorganization, moratorium or other laws relating to or affecting generally the enforcement of creditors’ rights or general principles of equity or (ii) the availability of the remedies of specific performance or injunctive relief are subject to the discretion of the court before which any proceeding therefor may be brought.</w:t>
      </w:r>
    </w:p>
    <w:p>
      <w:pPr>
        <w:spacing w:after="0" w:line="226" w:lineRule="exact"/>
        <w:rPr>
          <w:rFonts w:ascii="Arial" w:cs="Arial" w:eastAsia="Arial" w:hAnsi="Arial"/>
          <w:sz w:val="17"/>
          <w:szCs w:val="17"/>
          <w:color w:val="auto"/>
        </w:rPr>
      </w:pPr>
    </w:p>
    <w:p>
      <w:pPr>
        <w:jc w:val="both"/>
        <w:ind w:firstLine="980"/>
        <w:spacing w:after="0" w:line="264" w:lineRule="auto"/>
        <w:tabs>
          <w:tab w:leader="none" w:pos="140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Immediately after giving effect to this Amendment, the representations and warranties contained in the Credit Agreement are true, complete and accurate in all respects as of the date hereof, except for representations and warranties which relate exclusively to an earlier date, which shall be true and correct in all respects as of such earlier date.</w:t>
      </w:r>
    </w:p>
    <w:p>
      <w:pPr>
        <w:spacing w:after="0" w:line="235" w:lineRule="exact"/>
        <w:rPr>
          <w:rFonts w:ascii="Arial" w:cs="Arial" w:eastAsia="Arial" w:hAnsi="Arial"/>
          <w:sz w:val="18"/>
          <w:szCs w:val="18"/>
          <w:color w:val="auto"/>
        </w:rPr>
      </w:pPr>
    </w:p>
    <w:p>
      <w:pPr>
        <w:ind w:left="1400" w:hanging="420"/>
        <w:spacing w:after="0"/>
        <w:tabs>
          <w:tab w:leader="none" w:pos="14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Immediately after giving effect to this Amendment, no Default or Event of Default exists or is continuing.</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02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execution of this Amendment and any documents related hereto shall not be deemed to be a waiver of any Default or Event of Default under the Credit Agreement or breach, default or event of default under any Loan Document, whether or not known to Agent or any of the Lenders and whether or not existing as of the date hereof.</w:t>
      </w:r>
    </w:p>
    <w:p>
      <w:pPr>
        <w:spacing w:after="0" w:line="208" w:lineRule="exact"/>
        <w:rPr>
          <w:rFonts w:ascii="Arial" w:cs="Arial" w:eastAsia="Arial" w:hAnsi="Arial"/>
          <w:sz w:val="18"/>
          <w:szCs w:val="18"/>
          <w:color w:val="auto"/>
        </w:rPr>
      </w:pPr>
    </w:p>
    <w:p>
      <w:pPr>
        <w:ind w:left="1020" w:hanging="36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980"/>
        <w:spacing w:after="0" w:line="284" w:lineRule="auto"/>
        <w:tabs>
          <w:tab w:leader="none" w:pos="1388"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consideration of the agreements of Agent and Lenders contained herein and for other good and valuable consideration, the receipt and sufficiency of which is hereby acknowledged, Borrower, on behalf of itself, and its successors, assigns and other legal representatives (Borrower and all such other persons being hereinafter referred to collectively as “</w:t>
      </w:r>
      <w:r>
        <w:rPr>
          <w:rFonts w:ascii="Arial" w:cs="Arial" w:eastAsia="Arial" w:hAnsi="Arial"/>
          <w:sz w:val="16"/>
          <w:szCs w:val="16"/>
          <w:u w:val="single" w:color="auto"/>
          <w:color w:val="auto"/>
        </w:rPr>
        <w:t>Releasors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Releasor</w:t>
      </w:r>
      <w:r>
        <w:rPr>
          <w:rFonts w:ascii="Arial" w:cs="Arial" w:eastAsia="Arial" w:hAnsi="Arial"/>
          <w:sz w:val="16"/>
          <w:szCs w:val="16"/>
          <w:color w:val="auto"/>
        </w:rPr>
        <w:t>”), hereby absolutely, unconditionally and irrevocably releases, remises and forever discharges Agent, each Lender, and its successors and assigns, and its present and former shareholders, affiliates, subsidiaries, divisions, predecessors, directors, officers, attorneys, employees, agents and other representatives (Agent, each Lender and all such other persons being hereinafter referred to collectively as “</w:t>
      </w:r>
      <w:r>
        <w:rPr>
          <w:rFonts w:ascii="Arial" w:cs="Arial" w:eastAsia="Arial" w:hAnsi="Arial"/>
          <w:sz w:val="16"/>
          <w:szCs w:val="16"/>
          <w:u w:val="single" w:color="auto"/>
          <w:color w:val="auto"/>
        </w:rPr>
        <w:t>Releasees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Releasee</w:t>
      </w:r>
      <w:r>
        <w:rPr>
          <w:rFonts w:ascii="Arial" w:cs="Arial" w:eastAsia="Arial" w:hAnsi="Arial"/>
          <w:sz w:val="16"/>
          <w:szCs w:val="16"/>
          <w:color w:val="auto"/>
        </w:rPr>
        <w:t>”), of and from all demands, actions, causes of action, suits, covenants,</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contracts, controversies, agreements, promises, sums of money, accounts, bills, reckonings, damages and any and all other claims, counterclaims, defenses, rights of set off, demands and liabilities whatsoever (individually, an “Indemnified Claim” and collectively, “</w:t>
      </w:r>
      <w:r>
        <w:rPr>
          <w:rFonts w:ascii="Arial" w:cs="Arial" w:eastAsia="Arial" w:hAnsi="Arial"/>
          <w:sz w:val="18"/>
          <w:szCs w:val="18"/>
          <w:u w:val="single" w:color="auto"/>
          <w:color w:val="auto"/>
        </w:rPr>
        <w:t>Indemnified Claims</w:t>
      </w:r>
      <w:r>
        <w:rPr>
          <w:rFonts w:ascii="Arial" w:cs="Arial" w:eastAsia="Arial" w:hAnsi="Arial"/>
          <w:sz w:val="18"/>
          <w:szCs w:val="18"/>
          <w:color w:val="auto"/>
        </w:rPr>
        <w:t>”) of every name and nature, known or unknown, suspected or unsuspected, both at law and in equity, which Releasors may now or hereafter own, hold, have or claim to have against Releasees or any of them for, upon, or by reason of any circumstance, action, cause or thing whatsoever which arises at any time on or prior to the day and date of this Amendment, for or on account of, or in relation to, or in any way in connection with any of the Agreement or any of the other Loan Documents or transactions thereunder or related thereto.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8" w:name="page29"/>
    <w:bookmarkEnd w:id="28"/>
    <w:p>
      <w:pPr>
        <w:jc w:val="both"/>
        <w:ind w:firstLine="980"/>
        <w:spacing w:after="0" w:line="255" w:lineRule="auto"/>
        <w:tabs>
          <w:tab w:leader="none" w:pos="13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the intention of Borrower that this Amendment and the release set forth above shall constitute a full and final accord and satisfaction of all claims that may have or hereafter be deemed to have against Releasees as set forth herein. In furtherance of this intention, Borrower, on behalf of itself and each other Releasor, expressly waives any statutory or common law provision that would otherwise prevent the release set forth above from extending to claims that are not currently known or suspected to exist in any Releasor’s favor at the time of executing this Amendment and which, if known by Releasors, might have materially affected the agreement as provided for hereunder. Borrower, on behalf of itself and each other Releasor, acknowledges that it is familiar with Section 1542 of California Civil Code:</w:t>
      </w:r>
    </w:p>
    <w:p>
      <w:pPr>
        <w:spacing w:after="0" w:line="22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Borrower, on behalf of itself and each other Releasor, waives and releases any rights or benefits that they may have under Section 1542 to the full extent that they may lawfully waive such rights and benefits, and Borrower, on behalf of itself and each other Releasor, acknowledges that it understands the significance and consequences of the waiver of the provisions of Section 1542 and that it has been advised by counsel as to the significance and consequences of this waiver.</w:t>
      </w:r>
    </w:p>
    <w:p>
      <w:pPr>
        <w:spacing w:after="0" w:line="241" w:lineRule="exact"/>
        <w:rPr>
          <w:sz w:val="20"/>
          <w:szCs w:val="20"/>
          <w:color w:val="auto"/>
        </w:rPr>
      </w:pPr>
    </w:p>
    <w:p>
      <w:pPr>
        <w:jc w:val="both"/>
        <w:ind w:firstLine="980"/>
        <w:spacing w:after="0" w:line="264" w:lineRule="auto"/>
        <w:tabs>
          <w:tab w:leader="none" w:pos="13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235" w:lineRule="exact"/>
        <w:rPr>
          <w:rFonts w:ascii="Arial" w:cs="Arial" w:eastAsia="Arial" w:hAnsi="Arial"/>
          <w:sz w:val="18"/>
          <w:szCs w:val="18"/>
          <w:color w:val="auto"/>
        </w:rPr>
      </w:pPr>
    </w:p>
    <w:p>
      <w:pPr>
        <w:ind w:firstLine="980"/>
        <w:spacing w:after="0" w:line="277" w:lineRule="auto"/>
        <w:tabs>
          <w:tab w:leader="none" w:pos="14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Borrower agrees that no fact, event, circumstance, evidence or transaction which could now be asserted or which may hereafter be discovered shall affect in any manner the final, absolute and unconditional nature of the release set forth above.</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03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Choice of Law and Venue; Jury Trial Waiver</w:t>
      </w:r>
      <w:r>
        <w:rPr>
          <w:rFonts w:ascii="Arial" w:cs="Arial" w:eastAsia="Arial" w:hAnsi="Arial"/>
          <w:sz w:val="18"/>
          <w:szCs w:val="18"/>
          <w:color w:val="auto"/>
        </w:rPr>
        <w:t>. THIS AMENDMENT SHALL BE SUBJECT TO THE PROVISIONS REGARDING CHOICE OF LAW AND VENUE, JURY TRIAL WAIVER, AND JUDICIAL REFERENCE SET FORTH IN SECTION 12 OF THE CREDIT AGREEMENT, AND SUCH PROVISIONS ARE INCORPORATED HEREIN BY THIS REFERENCE, MUTATIS MUTANDIS.</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10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or other electronic method of transmission shall be effective as delivery of a manually executed counterpart of this Amendment.</w:t>
      </w:r>
    </w:p>
    <w:p>
      <w:pPr>
        <w:spacing w:after="0" w:line="213"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Loan Documents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980"/>
        <w:spacing w:after="0" w:line="286" w:lineRule="auto"/>
        <w:tabs>
          <w:tab w:leader="none" w:pos="1388" w:val="left"/>
        </w:tabs>
        <w:numPr>
          <w:ilvl w:val="1"/>
          <w:numId w:val="14"/>
        </w:numPr>
        <w:rPr>
          <w:rFonts w:ascii="Arial" w:cs="Arial" w:eastAsia="Arial" w:hAnsi="Arial"/>
          <w:sz w:val="17"/>
          <w:szCs w:val="17"/>
          <w:color w:val="auto"/>
        </w:rPr>
      </w:pPr>
      <w:r>
        <w:rPr>
          <w:rFonts w:ascii="Arial" w:cs="Arial" w:eastAsia="Arial" w:hAnsi="Arial"/>
          <w:sz w:val="17"/>
          <w:szCs w:val="17"/>
          <w:color w:val="auto"/>
        </w:rPr>
        <w:t>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9" w:name="page30"/>
    <w:bookmarkEnd w:id="29"/>
    <w:p>
      <w:pPr>
        <w:jc w:val="both"/>
        <w:ind w:left="-20" w:firstLine="980"/>
        <w:spacing w:after="0" w:line="264" w:lineRule="auto"/>
        <w:tabs>
          <w:tab w:leader="none" w:pos="13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Loan Documents, are and shall continue to be in full force and effect and are hereby in all respects ratified and confirmed and shall constitute the legal, valid, binding and enforceable obligations of Borrower without defense, offset, claim or contribution.</w:t>
      </w:r>
    </w:p>
    <w:p>
      <w:pPr>
        <w:spacing w:after="0" w:line="235" w:lineRule="exact"/>
        <w:rPr>
          <w:rFonts w:ascii="Arial" w:cs="Arial" w:eastAsia="Arial" w:hAnsi="Arial"/>
          <w:sz w:val="18"/>
          <w:szCs w:val="18"/>
          <w:color w:val="auto"/>
        </w:rPr>
      </w:pPr>
    </w:p>
    <w:p>
      <w:pPr>
        <w:ind w:left="-20" w:firstLine="980"/>
        <w:spacing w:after="0" w:line="308" w:lineRule="auto"/>
        <w:tabs>
          <w:tab w:leader="none" w:pos="138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execution, delivery and effectiveness of this Amendment shall not, except as expressly provided herein, operate as a waiver of any right, power or remedy of Agent under any of the Loan Documents, nor constitute a waiver of any provision of any of the Loan Documents.</w:t>
      </w:r>
    </w:p>
    <w:p>
      <w:pPr>
        <w:spacing w:after="0" w:line="200" w:lineRule="exact"/>
        <w:rPr>
          <w:rFonts w:ascii="Arial" w:cs="Arial" w:eastAsia="Arial" w:hAnsi="Arial"/>
          <w:sz w:val="17"/>
          <w:szCs w:val="17"/>
          <w:color w:val="auto"/>
        </w:rPr>
      </w:pPr>
    </w:p>
    <w:p>
      <w:pPr>
        <w:jc w:val="both"/>
        <w:ind w:left="-20" w:firstLine="980"/>
        <w:spacing w:after="0" w:line="264" w:lineRule="auto"/>
        <w:tabs>
          <w:tab w:leader="none" w:pos="13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208" w:lineRule="exact"/>
        <w:rPr>
          <w:rFonts w:ascii="Arial" w:cs="Arial" w:eastAsia="Arial" w:hAnsi="Arial"/>
          <w:sz w:val="18"/>
          <w:szCs w:val="18"/>
          <w:color w:val="auto"/>
        </w:rPr>
      </w:pPr>
    </w:p>
    <w:p>
      <w:pPr>
        <w:ind w:left="-20" w:right="20" w:firstLine="656"/>
        <w:spacing w:after="0" w:line="277" w:lineRule="auto"/>
        <w:tabs>
          <w:tab w:leader="none" w:pos="100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Borrower hereby restates, ratifies and reaffirms each and every term and condition set forth in the Credit Agreement, as amended hereby, and the Loan Documents effective as of the date hereof.</w:t>
      </w:r>
    </w:p>
    <w:p>
      <w:pPr>
        <w:spacing w:after="0" w:line="197" w:lineRule="exact"/>
        <w:rPr>
          <w:rFonts w:ascii="Arial" w:cs="Arial" w:eastAsia="Arial" w:hAnsi="Arial"/>
          <w:sz w:val="18"/>
          <w:szCs w:val="18"/>
          <w:color w:val="auto"/>
        </w:rPr>
      </w:pPr>
    </w:p>
    <w:p>
      <w:pPr>
        <w:jc w:val="both"/>
        <w:ind w:left="-20" w:firstLine="656"/>
        <w:spacing w:after="0" w:line="259" w:lineRule="auto"/>
        <w:tabs>
          <w:tab w:leader="none" w:pos="98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Estoppel</w:t>
      </w:r>
      <w:r>
        <w:rPr>
          <w:rFonts w:ascii="Arial" w:cs="Arial" w:eastAsia="Arial" w:hAnsi="Arial"/>
          <w:sz w:val="18"/>
          <w:szCs w:val="18"/>
          <w:color w:val="auto"/>
        </w:rPr>
        <w:t>. To induce Agent to enter into this Amendment and to continue to make advances to Borrower under the Credit Agreement, Borrower hereby acknowledges and agrees that, immediately before and after giving effect to this Amendment, as of the date hereof, there exists no Default or Event of Default and no right of offset, defense, counterclaim or objection in favor of Borrower or any Guarantor as against Agent or any Lender with respect to the Obligations.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the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IN WITNESS WHEREOF, the parties have entered into this Amendment as of the date first above written.</w:t>
      </w:r>
    </w:p>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BORROWER:</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-10160</wp:posOffset>
            </wp:positionV>
            <wp:extent cx="1819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927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-19050</wp:posOffset>
            </wp:positionV>
            <wp:extent cx="1711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132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-19050</wp:posOffset>
            </wp:positionV>
            <wp:extent cx="18002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AMENDMENT NUMBER FOUR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165100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31" w:name="page32"/>
    <w:bookmarkEnd w:id="31"/>
    <w:p>
      <w:pPr>
        <w:ind w:left="40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 national banking association, as Agent and sole Lender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Brad Blakey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-10160</wp:posOffset>
            </wp:positionV>
            <wp:extent cx="18256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Name: Brad Blakey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17176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7675" cy="8890"/>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748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 NUMBER FOUR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2015)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5140" w:val="left"/>
          <w:tab w:leader="none" w:pos="5720" w:val="left"/>
        </w:tabs>
        <w:rPr>
          <w:sz w:val="20"/>
          <w:szCs w:val="20"/>
          <w:color w:val="auto"/>
        </w:rPr>
      </w:pPr>
      <w:r>
        <w:rPr>
          <w:rFonts w:ascii="Arial" w:cs="Arial" w:eastAsia="Arial" w:hAnsi="Arial"/>
          <w:sz w:val="18"/>
          <w:szCs w:val="18"/>
          <w:color w:val="auto"/>
        </w:rPr>
        <w:t>Date: November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5298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1290320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2015)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5140" w:val="left"/>
          <w:tab w:leader="none" w:pos="5720" w:val="left"/>
        </w:tabs>
        <w:rPr>
          <w:sz w:val="20"/>
          <w:szCs w:val="20"/>
          <w:color w:val="auto"/>
        </w:rPr>
      </w:pPr>
      <w:r>
        <w:rPr>
          <w:rFonts w:ascii="Arial" w:cs="Arial" w:eastAsia="Arial" w:hAnsi="Arial"/>
          <w:sz w:val="18"/>
          <w:szCs w:val="18"/>
          <w:color w:val="auto"/>
        </w:rPr>
        <w:t>Date: November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5298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1170305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2015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140" w:val="left"/>
          <w:tab w:leader="none" w:pos="5720" w:val="left"/>
        </w:tabs>
        <w:rPr>
          <w:sz w:val="20"/>
          <w:szCs w:val="20"/>
          <w:color w:val="auto"/>
        </w:rPr>
      </w:pPr>
      <w:r>
        <w:rPr>
          <w:rFonts w:ascii="Arial" w:cs="Arial" w:eastAsia="Arial" w:hAnsi="Arial"/>
          <w:sz w:val="18"/>
          <w:szCs w:val="18"/>
          <w:color w:val="auto"/>
        </w:rPr>
        <w:t>Date: November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5298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1324610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2015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140" w:val="left"/>
          <w:tab w:leader="none" w:pos="5720" w:val="left"/>
        </w:tabs>
        <w:rPr>
          <w:sz w:val="20"/>
          <w:szCs w:val="20"/>
          <w:color w:val="auto"/>
        </w:rPr>
      </w:pPr>
      <w:r>
        <w:rPr>
          <w:rFonts w:ascii="Arial" w:cs="Arial" w:eastAsia="Arial" w:hAnsi="Arial"/>
          <w:sz w:val="18"/>
          <w:szCs w:val="18"/>
          <w:color w:val="auto"/>
        </w:rPr>
        <w:t>Date: November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5298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lowerRoman"/>
      <w:start w:val="2"/>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upperLetter"/>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2"/>
    </w:lvl>
    <w:lvl w:ilvl="1">
      <w:lvlJc w:val="left"/>
      <w:lvlText w:val="(%2)"/>
      <w:numFmt w:val="lowerLetter"/>
      <w:start w:val="1"/>
    </w:lvl>
  </w:abstractNum>
  <w:abstractNum w:abstractNumId="9">
    <w:nsid w:val="1BEFD79F"/>
    <w:multiLevelType w:val="hybridMultilevel"/>
    <w:lvl w:ilvl="0">
      <w:lvlJc w:val="left"/>
      <w:lvlText w:val="%1"/>
      <w:numFmt w:val="decimal"/>
      <w:start w:val="1"/>
    </w:lvl>
    <w:lvl w:ilvl="1">
      <w:lvlJc w:val="left"/>
      <w:lvlText w:val="(%2)"/>
      <w:numFmt w:val="lowerLetter"/>
      <w:start w:val="3"/>
    </w:lvl>
  </w:abstractNum>
  <w:abstractNum w:abstractNumId="10">
    <w:nsid w:val="41A7C4C9"/>
    <w:multiLevelType w:val="hybridMultilevel"/>
    <w:lvl w:ilvl="0">
      <w:lvlJc w:val="left"/>
      <w:lvlText w:val="%1."/>
      <w:numFmt w:val="decimal"/>
      <w:start w:val="3"/>
    </w:lvl>
    <w:lvl w:ilvl="1">
      <w:lvlJc w:val="left"/>
      <w:lvlText w:val="(%2)"/>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1"/>
    </w:lvl>
    <w:lvl w:ilvl="1">
      <w:lvlJc w:val="left"/>
      <w:lvlText w:val="(%2)"/>
      <w:numFmt w:val="lowerLetter"/>
      <w:start w:val="3"/>
    </w:lvl>
  </w:abstractNum>
  <w:abstractNum w:abstractNumId="13">
    <w:nsid w:val="25E45D32"/>
    <w:multiLevelType w:val="hybridMultilevel"/>
    <w:lvl w:ilvl="0">
      <w:lvlJc w:val="left"/>
      <w:lvlText w:val="%1."/>
      <w:numFmt w:val="decimal"/>
      <w:start w:val="6"/>
    </w:lvl>
    <w:lvl w:ilvl="1">
      <w:lvlJc w:val="left"/>
      <w:lvlText w:val="(%2)"/>
      <w:numFmt w:val="low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2"/>
    </w:lvl>
  </w:abstractNum>
  <w:abstractNum w:abstractNumId="15">
    <w:nsid w:val="431BD7B7"/>
    <w:multiLevelType w:val="hybridMultilevel"/>
    <w:lvl w:ilvl="0">
      <w:lvlJc w:val="left"/>
      <w:lvlText w:val="%1."/>
      <w:numFmt w:val="decimal"/>
      <w:start w:val="9"/>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2019-12-29T13:07:14Z</dcterms:created>
  <dcterms:modified xsi:type="dcterms:W3CDTF">2019-12-29T13:07:14Z</dcterms:modified>
</cp:coreProperties>
</file>