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227965</wp:posOffset>
            </wp:positionV>
            <wp:extent cx="866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245745</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09" w:lineRule="exact"/>
        <w:rPr>
          <w:sz w:val="24"/>
          <w:szCs w:val="24"/>
          <w:color w:val="auto"/>
        </w:rPr>
      </w:pPr>
    </w:p>
    <w:p>
      <w:pPr>
        <w:ind w:left="3740" w:right="1920" w:hanging="3637"/>
        <w:spacing w:after="0" w:line="532" w:lineRule="auto"/>
        <w:tabs>
          <w:tab w:leader="none" w:pos="35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60" w:hanging="257"/>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39"/>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6" w:lineRule="exact"/>
        <w:rPr>
          <w:sz w:val="24"/>
          <w:szCs w:val="24"/>
          <w:color w:val="auto"/>
        </w:rPr>
      </w:pPr>
    </w:p>
    <w:tbl>
      <w:tblPr>
        <w:tblLayout w:type="fixed"/>
        <w:tblInd w:w="1120" w:type="dxa"/>
        <w:tblCellMar>
          <w:top w:w="0" w:type="dxa"/>
          <w:left w:w="0" w:type="dxa"/>
          <w:bottom w:w="0" w:type="dxa"/>
          <w:right w:w="0" w:type="dxa"/>
        </w:tblCellMar>
      </w:tblPr>
      <w:tr>
        <w:trPr>
          <w:trHeight w:val="37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40" w:type="dxa"/>
            <w:vAlign w:val="bottom"/>
            <w:gridSpan w:val="5"/>
          </w:tcPr>
          <w:p>
            <w:pPr>
              <w:jc w:val="center"/>
              <w:ind w:left="290"/>
              <w:spacing w:after="0"/>
              <w:rPr>
                <w:sz w:val="20"/>
                <w:szCs w:val="20"/>
                <w:color w:val="auto"/>
              </w:rPr>
            </w:pPr>
            <w:r>
              <w:rPr>
                <w:rFonts w:ascii="Arial" w:cs="Arial" w:eastAsia="Arial" w:hAnsi="Arial"/>
                <w:sz w:val="18"/>
                <w:szCs w:val="18"/>
                <w:color w:val="auto"/>
                <w:w w:val="91"/>
              </w:rPr>
              <w:t>(Exact Name of Registrant as Specified in its Charter)</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2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6820" w:type="dxa"/>
            <w:vAlign w:val="bottom"/>
            <w:gridSpan w:val="9"/>
          </w:tcPr>
          <w:p>
            <w:pPr>
              <w:jc w:val="center"/>
              <w:ind w:right="3900"/>
              <w:spacing w:after="0"/>
              <w:rPr>
                <w:sz w:val="20"/>
                <w:szCs w:val="20"/>
                <w:color w:val="auto"/>
              </w:rPr>
            </w:pPr>
            <w:r>
              <w:rPr>
                <w:rFonts w:ascii="Arial" w:cs="Arial" w:eastAsia="Arial" w:hAnsi="Arial"/>
                <w:sz w:val="18"/>
                <w:szCs w:val="18"/>
                <w:color w:val="auto"/>
                <w:w w:val="92"/>
              </w:rPr>
              <w:t>(State or other jurisdiction of</w:t>
            </w:r>
          </w:p>
        </w:tc>
        <w:tc>
          <w:tcPr>
            <w:tcW w:w="1580" w:type="dxa"/>
            <w:vAlign w:val="bottom"/>
            <w:gridSpan w:val="5"/>
          </w:tcPr>
          <w:p>
            <w:pPr>
              <w:jc w:val="center"/>
              <w:ind w:left="150"/>
              <w:spacing w:after="0"/>
              <w:rPr>
                <w:sz w:val="20"/>
                <w:szCs w:val="20"/>
                <w:color w:val="auto"/>
              </w:rPr>
            </w:pPr>
            <w:r>
              <w:rPr>
                <w:rFonts w:ascii="Arial" w:cs="Arial" w:eastAsia="Arial" w:hAnsi="Arial"/>
                <w:sz w:val="18"/>
                <w:szCs w:val="18"/>
                <w:color w:val="auto"/>
                <w:w w:val="92"/>
              </w:rPr>
              <w:t>(I.R.S. Employer</w:t>
            </w:r>
          </w:p>
        </w:tc>
      </w:tr>
      <w:tr>
        <w:trPr>
          <w:trHeight w:val="230"/>
        </w:trPr>
        <w:tc>
          <w:tcPr>
            <w:tcW w:w="6820" w:type="dxa"/>
            <w:vAlign w:val="bottom"/>
            <w:gridSpan w:val="9"/>
          </w:tcPr>
          <w:p>
            <w:pPr>
              <w:jc w:val="center"/>
              <w:ind w:right="3900"/>
              <w:spacing w:after="0"/>
              <w:rPr>
                <w:sz w:val="20"/>
                <w:szCs w:val="20"/>
                <w:color w:val="auto"/>
              </w:rPr>
            </w:pPr>
            <w:r>
              <w:rPr>
                <w:rFonts w:ascii="Arial" w:cs="Arial" w:eastAsia="Arial" w:hAnsi="Arial"/>
                <w:sz w:val="18"/>
                <w:szCs w:val="18"/>
                <w:color w:val="auto"/>
                <w:w w:val="92"/>
              </w:rPr>
              <w:t>incorporation or organization)</w:t>
            </w:r>
          </w:p>
        </w:tc>
        <w:tc>
          <w:tcPr>
            <w:tcW w:w="1580" w:type="dxa"/>
            <w:vAlign w:val="bottom"/>
            <w:gridSpan w:val="5"/>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820" w:type="dxa"/>
            <w:vAlign w:val="bottom"/>
            <w:gridSpan w:val="9"/>
          </w:tcPr>
          <w:p>
            <w:pPr>
              <w:jc w:val="center"/>
              <w:ind w:right="3900"/>
              <w:spacing w:after="0"/>
              <w:rPr>
                <w:sz w:val="20"/>
                <w:szCs w:val="20"/>
                <w:color w:val="auto"/>
              </w:rPr>
            </w:pPr>
            <w:r>
              <w:rPr>
                <w:rFonts w:ascii="Arial" w:cs="Arial" w:eastAsia="Arial" w:hAnsi="Arial"/>
                <w:sz w:val="18"/>
                <w:szCs w:val="18"/>
                <w:b w:val="1"/>
                <w:bCs w:val="1"/>
                <w:color w:val="auto"/>
                <w:w w:val="90"/>
              </w:rPr>
              <w:t>110 Wild Basin Road, Suite 100</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4840" w:type="dxa"/>
            <w:vAlign w:val="bottom"/>
            <w:gridSpan w:val="5"/>
          </w:tcPr>
          <w:p>
            <w:pPr>
              <w:spacing w:after="0"/>
              <w:rPr>
                <w:sz w:val="16"/>
                <w:szCs w:val="16"/>
                <w:color w:val="auto"/>
              </w:rPr>
            </w:pPr>
          </w:p>
        </w:tc>
        <w:tc>
          <w:tcPr>
            <w:tcW w:w="680" w:type="dxa"/>
            <w:vAlign w:val="bottom"/>
            <w:gridSpan w:val="2"/>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7"/>
              </w:rPr>
              <w:t>78746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7"/>
        </w:trPr>
        <w:tc>
          <w:tcPr>
            <w:tcW w:w="6820" w:type="dxa"/>
            <w:vAlign w:val="bottom"/>
            <w:gridSpan w:val="9"/>
          </w:tcPr>
          <w:p>
            <w:pPr>
              <w:jc w:val="center"/>
              <w:ind w:right="3900"/>
              <w:spacing w:after="0"/>
              <w:rPr>
                <w:sz w:val="20"/>
                <w:szCs w:val="20"/>
                <w:color w:val="auto"/>
              </w:rPr>
            </w:pPr>
            <w:r>
              <w:rPr>
                <w:rFonts w:ascii="Arial" w:cs="Arial" w:eastAsia="Arial" w:hAnsi="Arial"/>
                <w:sz w:val="18"/>
                <w:szCs w:val="18"/>
                <w:color w:val="auto"/>
                <w:w w:val="92"/>
              </w:rPr>
              <w:t>(Address of Principal Executive Offices)</w:t>
            </w:r>
          </w:p>
        </w:tc>
        <w:tc>
          <w:tcPr>
            <w:tcW w:w="48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(Zip Code)</w:t>
            </w:r>
          </w:p>
        </w:tc>
      </w:tr>
      <w:tr>
        <w:trPr>
          <w:trHeight w:val="392"/>
        </w:trPr>
        <w:tc>
          <w:tcPr>
            <w:tcW w:w="5160" w:type="dxa"/>
            <w:vAlign w:val="bottom"/>
            <w:gridSpan w:val="7"/>
          </w:tcPr>
          <w:p>
            <w:pPr>
              <w:jc w:val="center"/>
              <w:ind w:left="3950"/>
              <w:spacing w:after="0"/>
              <w:rPr>
                <w:sz w:val="20"/>
                <w:szCs w:val="20"/>
                <w:color w:val="auto"/>
              </w:rPr>
            </w:pPr>
            <w:r>
              <w:rPr>
                <w:rFonts w:ascii="Arial" w:cs="Arial" w:eastAsia="Arial" w:hAnsi="Arial"/>
                <w:sz w:val="18"/>
                <w:szCs w:val="18"/>
                <w:b w:val="1"/>
                <w:bCs w:val="1"/>
                <w:color w:val="auto"/>
                <w:w w:val="90"/>
              </w:rPr>
              <w:t>(512) 437-2700</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40" w:type="dxa"/>
            <w:vAlign w:val="bottom"/>
            <w:gridSpan w:val="5"/>
          </w:tcPr>
          <w:p>
            <w:pPr>
              <w:jc w:val="center"/>
              <w:ind w:left="290"/>
              <w:spacing w:after="0"/>
              <w:rPr>
                <w:sz w:val="20"/>
                <w:szCs w:val="20"/>
                <w:color w:val="auto"/>
              </w:rPr>
            </w:pPr>
            <w:r>
              <w:rPr>
                <w:rFonts w:ascii="Arial" w:cs="Arial" w:eastAsia="Arial" w:hAnsi="Arial"/>
                <w:sz w:val="18"/>
                <w:szCs w:val="18"/>
                <w:color w:val="auto"/>
                <w:w w:val="90"/>
              </w:rPr>
              <w:t>(Registrant’s Telephone Number, including Area Code)</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567" w:right="239" w:bottom="1440" w:gutter="0" w:footer="0" w:header="0"/>
        </w:sectPr>
      </w:pPr>
    </w:p>
    <w:p>
      <w:pPr>
        <w:spacing w:after="0" w:line="165"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3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4">
            <w:col w:w="2400" w:space="720"/>
            <w:col w:w="1720" w:space="720"/>
            <w:col w:w="2160" w:space="720"/>
            <w:col w:w="2980"/>
          </w:cols>
          <w:pgMar w:left="240" w:top="567" w:right="239" w:bottom="1440" w:gutter="0" w:footer="0" w:header="0"/>
          <w:type w:val="continuous"/>
        </w:sectPr>
      </w:pPr>
    </w:p>
    <w:p>
      <w:pPr>
        <w:spacing w:after="0" w:line="48"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38" w:orient="portrait"/>
          <w:cols w:equalWidth="0" w:num="2">
            <w:col w:w="8880" w:space="180"/>
            <w:col w:w="2360"/>
          </w:cols>
          <w:pgMar w:left="240" w:top="567" w:right="2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8, 2016, the registrant had outstanding 6,546,380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120" w:type="dxa"/>
            <w:vAlign w:val="bottom"/>
            <w:gridSpan w:val="6"/>
          </w:tcPr>
          <w:p>
            <w:pPr>
              <w:jc w:val="center"/>
              <w:ind w:right="248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241"/>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120" w:type="dxa"/>
            <w:vAlign w:val="bottom"/>
            <w:gridSpan w:val="6"/>
          </w:tcPr>
          <w:p>
            <w:pPr>
              <w:jc w:val="center"/>
              <w:ind w:right="2480"/>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Pr>
          <w:p>
            <w:pPr>
              <w:spacing w:after="0"/>
              <w:rPr>
                <w:sz w:val="18"/>
                <w:szCs w:val="18"/>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8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900" w:type="dxa"/>
            <w:vAlign w:val="bottom"/>
          </w:tcPr>
          <w:p>
            <w:pPr>
              <w:spacing w:after="0"/>
              <w:rPr>
                <w:sz w:val="24"/>
                <w:szCs w:val="24"/>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80" w:type="dxa"/>
            <w:vAlign w:val="bottom"/>
            <w:gridSpan w:val="1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2016 and December 31, 2015</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for the Three and Nine Months ended September 30, 2016</w:t>
              </w:r>
            </w:hyperlink>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40" w:type="dxa"/>
            <w:vAlign w:val="bottom"/>
          </w:tcPr>
          <w:p>
            <w:pPr>
              <w:spacing w:after="0"/>
              <w:rPr>
                <w:sz w:val="17"/>
                <w:szCs w:val="17"/>
                <w:color w:val="auto"/>
              </w:rPr>
            </w:pPr>
          </w:p>
        </w:tc>
        <w:tc>
          <w:tcPr>
            <w:tcW w:w="968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2015</w:t>
              </w:r>
            </w:hyperlink>
          </w:p>
        </w:tc>
        <w:tc>
          <w:tcPr>
            <w:tcW w:w="90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2016 and 2015</w:t>
              </w:r>
            </w:hyperlink>
          </w:p>
        </w:tc>
        <w:tc>
          <w:tcPr>
            <w:tcW w:w="144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38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Management’s Discussion and Analysis of Financial Condition and Results of Operations</w:t>
              </w:r>
            </w:hyperlink>
          </w:p>
        </w:tc>
        <w:tc>
          <w:tcPr>
            <w:tcW w:w="280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9680" w:type="dxa"/>
            <w:vAlign w:val="bottom"/>
            <w:gridSpan w:val="12"/>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Quantitative and Qualitative Disclosures About Market Risk</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4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Controls and Procedures</w:t>
              </w:r>
            </w:hyperlink>
          </w:p>
        </w:tc>
        <w:tc>
          <w:tcPr>
            <w:tcW w:w="504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453"/>
        </w:trPr>
        <w:tc>
          <w:tcPr>
            <w:tcW w:w="84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7120" w:type="dxa"/>
            <w:vAlign w:val="bottom"/>
            <w:gridSpan w:val="6"/>
          </w:tcPr>
          <w:p>
            <w:pPr>
              <w:jc w:val="center"/>
              <w:ind w:right="250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r>
      <w:tr>
        <w:trPr>
          <w:trHeight w:val="41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80" w:type="dxa"/>
            <w:vAlign w:val="bottom"/>
            <w:gridSpan w:val="12"/>
          </w:tcPr>
          <w:p>
            <w:pPr>
              <w:spacing w:after="0"/>
              <w:rPr>
                <w:sz w:val="20"/>
                <w:szCs w:val="20"/>
                <w:color w:val="auto"/>
              </w:rPr>
            </w:pPr>
            <w:r>
              <w:rPr>
                <w:rFonts w:ascii="Arial" w:cs="Arial" w:eastAsia="Arial" w:hAnsi="Arial"/>
                <w:sz w:val="18"/>
                <w:szCs w:val="18"/>
                <w:b w:val="1"/>
                <w:bCs w:val="1"/>
                <w:color w:val="auto"/>
              </w:rPr>
              <w:t>Legal Proceedings</w:t>
            </w:r>
          </w:p>
        </w:tc>
        <w:tc>
          <w:tcPr>
            <w:tcW w:w="900" w:type="dxa"/>
            <w:vAlign w:val="bottom"/>
          </w:tcPr>
          <w:p>
            <w:pPr>
              <w:spacing w:after="0"/>
              <w:rPr>
                <w:sz w:val="24"/>
                <w:szCs w:val="24"/>
                <w:color w:val="auto"/>
              </w:rPr>
            </w:pPr>
          </w:p>
        </w:tc>
      </w:tr>
      <w:tr>
        <w:trPr>
          <w:trHeight w:val="194"/>
        </w:trPr>
        <w:tc>
          <w:tcPr>
            <w:tcW w:w="840" w:type="dxa"/>
            <w:vAlign w:val="bottom"/>
          </w:tcPr>
          <w:p>
            <w:pPr>
              <w:spacing w:after="0" w:line="194" w:lineRule="exact"/>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line="194" w:lineRule="exact"/>
              <w:rPr>
                <w:rFonts w:ascii="Arial" w:cs="Arial" w:eastAsia="Arial" w:hAnsi="Arial"/>
                <w:sz w:val="18"/>
                <w:szCs w:val="18"/>
                <w:b w:val="1"/>
                <w:bCs w:val="1"/>
                <w:color w:val="0000EE"/>
                <w:w w:val="86"/>
              </w:rPr>
            </w:pPr>
            <w:hyperlink w:anchor="page25">
              <w:r>
                <w:rPr>
                  <w:rFonts w:ascii="Arial" w:cs="Arial" w:eastAsia="Arial" w:hAnsi="Arial"/>
                  <w:sz w:val="18"/>
                  <w:szCs w:val="18"/>
                  <w:b w:val="1"/>
                  <w:bCs w:val="1"/>
                  <w:color w:val="0000EE"/>
                  <w:w w:val="86"/>
                </w:rPr>
                <w:t>Risk Factors</w:t>
              </w:r>
            </w:hyperlink>
          </w:p>
        </w:tc>
        <w:tc>
          <w:tcPr>
            <w:tcW w:w="8720" w:type="dxa"/>
            <w:vAlign w:val="bottom"/>
            <w:gridSpan w:val="9"/>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8"/>
                <w:szCs w:val="18"/>
                <w:color w:val="auto"/>
              </w:rPr>
              <w:t>25</w:t>
            </w:r>
          </w:p>
        </w:tc>
      </w:tr>
      <w:tr>
        <w:trPr>
          <w:trHeight w:val="218"/>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80" w:type="dxa"/>
            <w:vAlign w:val="bottom"/>
            <w:gridSpan w:val="12"/>
          </w:tcPr>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9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680" w:type="dxa"/>
            <w:vAlign w:val="bottom"/>
            <w:gridSpan w:val="12"/>
          </w:tcPr>
          <w:p>
            <w:pPr>
              <w:spacing w:after="0"/>
              <w:rPr>
                <w:sz w:val="20"/>
                <w:szCs w:val="20"/>
                <w:color w:val="auto"/>
              </w:rPr>
            </w:pPr>
            <w:r>
              <w:rPr>
                <w:rFonts w:ascii="Arial" w:cs="Arial" w:eastAsia="Arial" w:hAnsi="Arial"/>
                <w:sz w:val="18"/>
                <w:szCs w:val="18"/>
                <w:b w:val="1"/>
                <w:bCs w:val="1"/>
                <w:color w:val="auto"/>
              </w:rPr>
              <w:t>Defaults upon Senior Securities</w:t>
            </w:r>
          </w:p>
        </w:tc>
        <w:tc>
          <w:tcPr>
            <w:tcW w:w="900" w:type="dxa"/>
            <w:vAlign w:val="bottom"/>
          </w:tcPr>
          <w:p>
            <w:pPr>
              <w:spacing w:after="0"/>
              <w:rPr>
                <w:sz w:val="18"/>
                <w:szCs w:val="18"/>
                <w:color w:val="auto"/>
              </w:rPr>
            </w:pPr>
          </w:p>
        </w:tc>
      </w:tr>
      <w:tr>
        <w:trPr>
          <w:trHeight w:val="194"/>
        </w:trPr>
        <w:tc>
          <w:tcPr>
            <w:tcW w:w="840" w:type="dxa"/>
            <w:vAlign w:val="bottom"/>
          </w:tcPr>
          <w:p>
            <w:pPr>
              <w:spacing w:after="0" w:line="194" w:lineRule="exact"/>
              <w:rPr>
                <w:sz w:val="20"/>
                <w:szCs w:val="20"/>
                <w:color w:val="auto"/>
              </w:rPr>
            </w:pPr>
            <w:r>
              <w:rPr>
                <w:rFonts w:ascii="Arial" w:cs="Arial" w:eastAsia="Arial" w:hAnsi="Arial"/>
                <w:sz w:val="18"/>
                <w:szCs w:val="18"/>
                <w:b w:val="1"/>
                <w:bCs w:val="1"/>
                <w:color w:val="auto"/>
              </w:rPr>
              <w:t>Item 5.</w:t>
            </w:r>
          </w:p>
        </w:tc>
        <w:tc>
          <w:tcPr>
            <w:tcW w:w="9680" w:type="dxa"/>
            <w:vAlign w:val="bottom"/>
            <w:gridSpan w:val="12"/>
          </w:tcPr>
          <w:p>
            <w:pPr>
              <w:spacing w:after="0" w:line="194"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900" w:type="dxa"/>
            <w:vAlign w:val="bottom"/>
          </w:tcPr>
          <w:p>
            <w:pPr>
              <w:jc w:val="right"/>
              <w:spacing w:after="0" w:line="194" w:lineRule="exact"/>
              <w:rPr>
                <w:sz w:val="20"/>
                <w:szCs w:val="20"/>
                <w:color w:val="auto"/>
              </w:rPr>
            </w:pPr>
            <w:r>
              <w:rPr>
                <w:rFonts w:ascii="Arial" w:cs="Arial" w:eastAsia="Arial" w:hAnsi="Arial"/>
                <w:sz w:val="18"/>
                <w:szCs w:val="18"/>
                <w:color w:val="auto"/>
              </w:rPr>
              <w:t>25</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5"/>
              </w:rPr>
            </w:pPr>
            <w:hyperlink w:anchor="page25">
              <w:r>
                <w:rPr>
                  <w:rFonts w:ascii="Arial" w:cs="Arial" w:eastAsia="Arial" w:hAnsi="Arial"/>
                  <w:sz w:val="18"/>
                  <w:szCs w:val="18"/>
                  <w:b w:val="1"/>
                  <w:bCs w:val="1"/>
                  <w:color w:val="0000EE"/>
                  <w:w w:val="85"/>
                </w:rPr>
                <w:t>Exhibits</w:t>
              </w:r>
            </w:hyperlink>
          </w:p>
        </w:tc>
        <w:tc>
          <w:tcPr>
            <w:tcW w:w="760" w:type="dxa"/>
            <w:vAlign w:val="bottom"/>
            <w:tcBorders>
              <w:top w:val="single" w:sz="8" w:color="0000EE"/>
            </w:tcBorders>
            <w:gridSpan w:val="2"/>
          </w:tcPr>
          <w:p>
            <w:pPr>
              <w:spacing w:after="0"/>
              <w:rPr>
                <w:sz w:val="17"/>
                <w:szCs w:val="17"/>
                <w:color w:val="auto"/>
              </w:rPr>
            </w:pPr>
          </w:p>
        </w:tc>
        <w:tc>
          <w:tcPr>
            <w:tcW w:w="828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412"/>
        </w:trPr>
        <w:tc>
          <w:tcPr>
            <w:tcW w:w="10520" w:type="dxa"/>
            <w:vAlign w:val="bottom"/>
            <w:gridSpan w:val="13"/>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46"/>
        </w:trPr>
        <w:tc>
          <w:tcPr>
            <w:tcW w:w="8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ASURE SOFTWARE, INC.</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1"/>
              </w:rPr>
              <w:t>(Amounts 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160"/>
              <w:spacing w:after="0" w:line="201" w:lineRule="exact"/>
              <w:rPr>
                <w:sz w:val="20"/>
                <w:szCs w:val="20"/>
                <w:color w:val="auto"/>
              </w:rPr>
            </w:pPr>
            <w:r>
              <w:rPr>
                <w:rFonts w:ascii="Arial" w:cs="Arial" w:eastAsia="Arial" w:hAnsi="Arial"/>
                <w:sz w:val="18"/>
                <w:szCs w:val="18"/>
                <w:color w:val="auto"/>
              </w:rPr>
              <w:t>Accounts and note receivable, net of allowance for doubtful accounts of $136 and $145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320"/>
              <w:spacing w:after="0"/>
              <w:rPr>
                <w:sz w:val="20"/>
                <w:szCs w:val="20"/>
                <w:color w:val="auto"/>
              </w:rPr>
            </w:pPr>
            <w:r>
              <w:rPr>
                <w:rFonts w:ascii="Arial" w:cs="Arial" w:eastAsia="Arial" w:hAnsi="Arial"/>
                <w:sz w:val="18"/>
                <w:szCs w:val="18"/>
                <w:color w:val="auto"/>
              </w:rPr>
              <w:t>at September 30, 2016 and December 31, 2015, 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 before funds held for clients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Funds held for clients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21,209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62,057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notes payable, net of debt issuance cost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40"/>
              <w:spacing w:after="0"/>
              <w:rPr>
                <w:sz w:val="20"/>
                <w:szCs w:val="20"/>
                <w:color w:val="auto"/>
              </w:rPr>
            </w:pPr>
            <w:r>
              <w:rPr>
                <w:rFonts w:ascii="Arial" w:cs="Arial" w:eastAsia="Arial" w:hAnsi="Arial"/>
                <w:sz w:val="18"/>
                <w:szCs w:val="18"/>
                <w:b w:val="1"/>
                <w:bCs w:val="1"/>
                <w:color w:val="auto"/>
              </w:rPr>
              <w:t>Total current liabilities before client fund obligations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Client fund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31,950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net of debt issuance cost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long-term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26,623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58,573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$.01 par value; 11,000 shares authorized; 6,916 and 6,674 shares issued,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6,532 and 6,290 shares outstanding at September 30, 2016 and December 31, 2015, respectively</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Treasury stock at cost, 384 shares at September 30, 2016 and December 31, 2015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(272,006)</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(270,903)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tcBorders>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3,484</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62,057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rPr>
              <w:t>FOR THE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rPr>
              <w:t>FOR THE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7"/>
              </w:rPr>
              <w:t>SEPTEMBER 30,</w:t>
            </w:r>
          </w:p>
        </w:tc>
        <w:tc>
          <w:tcPr>
            <w:tcW w:w="280" w:type="dxa"/>
            <w:vAlign w:val="bottom"/>
          </w:tcPr>
          <w:p>
            <w:pPr>
              <w:spacing w:after="0"/>
              <w:rPr>
                <w:sz w:val="20"/>
                <w:szCs w:val="20"/>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Cloud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Hardware revenue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835</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2,644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and support revenue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On premise software license revenue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1,352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services revenue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9,440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6,654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25,826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5,932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Gross margin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7,414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19,894</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14,864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3,866</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14,853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786</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2,217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6,432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5,157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18,698</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982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(253</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1,196</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Other income (loss)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on lease termination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gain (loss)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on debt refinancing</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and other</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 amortization of original issue discount (OID)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Arial" w:cs="Arial" w:eastAsia="Arial" w:hAnsi="Arial"/>
                <w:sz w:val="18"/>
                <w:szCs w:val="18"/>
                <w:b w:val="1"/>
                <w:bCs w:val="1"/>
                <w:color w:val="auto"/>
              </w:rPr>
              <w:t>Total other loss, net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(620</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(278)</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(2,166)</w:t>
            </w:r>
          </w:p>
        </w:tc>
        <w:tc>
          <w:tcPr>
            <w:tcW w:w="4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(531</w:t>
            </w: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(970)</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24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(574</w:t>
            </w: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(1,103)</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Foreign currency gain (loss)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6,534,000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6,290,000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6,383,000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6,548,000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6,290,000</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6,383,000</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6,138,000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FOR THE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provided by operations: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Loss on debt financing</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Disposals of property and equipment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Collection of note receivable</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change in funds held for clients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1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(7,750)</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(1 272)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Proceeds from notes payable</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16,823</w:t>
            </w: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notes payable</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financing fees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Payments on capital leases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change in client fund obligations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(4,155)</w:t>
            </w:r>
          </w:p>
        </w:tc>
        <w:tc>
          <w:tcPr>
            <w:tcW w:w="3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7,460</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1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(869</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1,158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 for:</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5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Note receivable from customer</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 Mangrove acquisition</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Accrued purchases of property and equipment</w:t>
            </w: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Software, Inc., a Delaware corporation, is a provider of cloud-based software-as-a-service (“SaaS”) time and labor management and Agile Workplace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Dedham, Massachusetts; Traverse City, Michigan and London, United Kingdom.</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September 30, 2016 and December 31, 2015, the results of operations for the three and nine months ended September 30, 2016 and 2015, and the cash flows for the nine months ended September 30, 2016 and 2015.</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2015. The results for the interim periods are not necessarily indicative of results for a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2016, Asure’s principal sources of liquidity consisted of approximately $289 of cash and cash equivalents, future cash generated from operations and $2,800 available for borrowing under our Wells Fargo revolver discussed in Note 6 – Notes Payable. We believe that we have and/or will generate sufficient cash for our short- and long-term needs, including meeting the requirements of our term loan, and related debt covenant requirements. We continue to seek reductions in our expenses as a percentage of revenue on an annual basis and thus may utilize our cash balances in the short-term to reduce long-term costs. Based on current internal projections, we believe that we have and/or will generate sufficient cash for our operational needs, including any required debt payments, for at least the next twelve months.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are also exploring additional strategic acquisitions in the near future, although we have no agreements to make any acquisition at this time. We expect to fund any future acquisitions with equity, available cash, future cash from operations, or debt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In May 2014, the FASB issued FASB ASU No. 2014-09, “Revenue from Contracts with Customers (Topic 606),” which supersedes the revenue recognition requirements in ASC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The guidance provides a five-step process to achieve that core principle. ASU 2014-09 requires disclosures enabling users of financial statements to understand the nature, amount, timing and uncertainty of revenue and cash flows arising from contracts with customers. Additionally, qualitative and quantitative disclosures are required about contracts with customers, significant judgments and changes in judgments, and assets recognized from the costs to obtain or fulfill a contract. In August 2015, the FASB issued FASB ASU No. 2015-14, “Revenue from Contracts with Customers (Topic 606): Deferral of the Effective Date”, which deferred the effective date of ASU 2014-09 by one year. ASU 2014-09 is now effective for annual reporting periods beginning after December 15, 2017, including interim periods within that reporting period, using one of two retrospective application methods. Early application is permitted only as of annual reporting periods beginning after December 15, 2016, including interim reporting periods within that reporting period. In March 2016, the FASB issued FASB ASU No. 2016-08, “Revenue from Contracts with Customers (Topic 606): Principal versus Agent Considerations (Reporting Revenue Gross versus Net)”. ASU 2016-08 clarifies the implementation guidance on principal versus agent considerations. In April 2016, the FASB issued ASU No. 2016-10, “Revenue from Contracts with Customers: Identifying Performance Obligations and Licensing.” ASU 2016-10 clarifies the implementation guidance in Topic 606 for identifying performance obligations and determining when to recognize revenue on licensing agreements for intellectual property. In May 2016, the FASB issued ASU No. 2016-11, “Revenue Recognition (Topic 605) and Derivatives and Hedging (Topic 815): Rescission of SEC Guidance Because of Accounting Standards Updates 2014-09 and 2014-16 Pursuant to Staff Announcements at the March 3, 2016 EITF Meeting.” ASU 2016-11 rescinds certain SEC staff comments previously made in regard to these ASU’s. </w:t>
      </w:r>
      <w:r>
        <w:rPr>
          <w:rFonts w:ascii="Arial" w:cs="Arial" w:eastAsia="Arial" w:hAnsi="Arial"/>
          <w:sz w:val="17"/>
          <w:szCs w:val="17"/>
          <w:color w:val="222222"/>
        </w:rPr>
        <w:t>In May 2016, the FASB issued ASU No.</w:t>
      </w:r>
      <w:r>
        <w:rPr>
          <w:rFonts w:ascii="Arial" w:cs="Arial" w:eastAsia="Arial" w:hAnsi="Arial"/>
          <w:sz w:val="17"/>
          <w:szCs w:val="17"/>
          <w:color w:val="auto"/>
        </w:rPr>
        <w:t xml:space="preserve"> </w:t>
      </w:r>
      <w:r>
        <w:rPr>
          <w:rFonts w:ascii="Arial" w:cs="Arial" w:eastAsia="Arial" w:hAnsi="Arial"/>
          <w:sz w:val="17"/>
          <w:szCs w:val="17"/>
          <w:color w:val="222222"/>
        </w:rPr>
        <w:t xml:space="preserve">2016-12, “Revenue from Contracts with Customers (Topic 606): Narrow-Scope Improvements and Practical Expedients” that provide guidance on assessing collectability, presentation of sales taxes, noncash consideration, and completed contracts and contract modifications at transition. </w:t>
      </w:r>
      <w:r>
        <w:rPr>
          <w:rFonts w:ascii="Arial" w:cs="Arial" w:eastAsia="Arial" w:hAnsi="Arial"/>
          <w:sz w:val="17"/>
          <w:szCs w:val="17"/>
          <w:color w:val="000000"/>
        </w:rPr>
        <w:t>We are currently evaluating</w:t>
      </w:r>
      <w:r>
        <w:rPr>
          <w:rFonts w:ascii="Arial" w:cs="Arial" w:eastAsia="Arial" w:hAnsi="Arial"/>
          <w:sz w:val="17"/>
          <w:szCs w:val="17"/>
          <w:color w:val="222222"/>
        </w:rPr>
        <w:t xml:space="preserve"> </w:t>
      </w:r>
      <w:r>
        <w:rPr>
          <w:rFonts w:ascii="Arial" w:cs="Arial" w:eastAsia="Arial" w:hAnsi="Arial"/>
          <w:sz w:val="17"/>
          <w:szCs w:val="17"/>
          <w:color w:val="000000"/>
        </w:rPr>
        <w:t>the effect that the adoption of ASU 2014-09, ASU 2015-14, ASU 2016-08, ASU 2016- 10, ASU 2016-11 and ASU 2016-12 will have on our consolidated financial statements.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(meet its obligations as they become due) within one year after the date that the financial statements are issued. If conditions or events raise substantial doubt about the entity’s ability to continue as a going concern, certain disclosures are required. This ASU is effective for annual reporting periods ending after December 15, 2016, and interim reporting periods thereafter. We adopted the provisions of ASU 2014-15 on January 1, 2016. This adoption did not have any impact on our consolidated financial statements.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the June 18, 2015 Emerging Issues Task Force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provisions of each ASU are effective for fiscal years, and interim periods within those fiscal years, beginning after December 15, 2015. A reporting entity should apply each amendment retrospectively. We adopted ASU 2015-03 on January 1, 2016 for debt issuance costs on our term loan, on a retrospective basis. The impact of adopting ASU 2015-03 on our current period condensed consolidated financial statements was the classification of all deferred financing costs as a deduction to the corresponding debt in addition to the reclassification of deferred financing costs in other current and long term assets to short and long term notes payable as of December 31, 2015, within the condensed consolidated balance sheets to conform to the current period presentation. Other than these reclassifications and additional disclosures, the adoption of ASU 2015-03 did not have an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2015, the FASB issued ASU 2015-11, “Simplifying the Measurement of Inventory”. Inventory within the scope of this update is required to be measured at the lower of its cost or net realizable value, with net realizable value being the estimated selling price in the ordinary course of business, less reasonably predictable costs of completion, disposal, and transportation. This ASU is effective prospectively for fiscal years and interim periods beginning after December 15, 2016, with early adoption permitted. We are currently evaluating the effect of adopting ASU 2015-11 on our consolidated financial statements.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September 2015, the FASB issued ASU 2015-16, “Business Combinations: Simplifying the Accounting for Measurement-Period Adjustments,” which requires acquirers to recognize adjustments to provisional amounts identified during the reporting period in which the adjustment amounts are determined. Acquirers should record, in the same period’s financial statements, the effect on earnings of changes in depreciation, amortization, or other income effects, if any, as a result of the change to the provisional amounts, calculated as if the accounting had been completed at the acquisition date. Application of the standard, which should be applied prospectively, is required for the annual and interim periods beginning after December 15, 2015. We adopted the provisions of ASU 2015-16 on January 1, 2016. The adoption did not have a material impact on our consolidated financial statements.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2015, the FASB issued ASU No. 2015-17,” Income Taxes: Balance Sheet Classification of Deferred Taxes”, to require that deferred tax liabilities and assets be classified entirely as non-current. This amended guidance is effective for fiscal years beginning after December 15, 2016, including interim periods within those years. Early adoption is permitted, and the amended guidance may be applied prospectively to all deferred tax liabilities and assets or retrospectively to all periods presented. We are currently evaluating the effects and timing of the adoption of ASU 2015-17, which must be adopted by the first quarter of 2017.</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2016, the FASB issued ASU No. 2016-02, “Leases (Topic 842)”. The core principle of the standard is that a lessee should recognize the assets and liabilities that arise from leases. A lessee should recognize in its statement of financial position a liability to make lease payments (the lease liability) and a right-of-use asset representing its right to use the underlying asset for the lease term. We will be required to adopt the new standard in the first quarter of 2019. We are currently evaluating the impact ASU 2016-02 will have on our consolidated financial statements.</w:t>
      </w:r>
    </w:p>
    <w:p>
      <w:pPr>
        <w:spacing w:after="0" w:line="21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eliminates the diversity in practice related to eight cash flow classification issues. This ASU is effective for on January 1, 2018 with early adoption permitted. We believe its adoption will not significantly impact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Asure has been, and in the future may be, the defendant or plaintiff in various actions arising in the normal course of business, as of September 30, 2016, we were not party to any pending legal proceedings.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4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52" w:lineRule="exact"/>
        <w:rPr>
          <w:sz w:val="20"/>
          <w:szCs w:val="20"/>
          <w:color w:val="auto"/>
        </w:rPr>
      </w:pPr>
    </w:p>
    <w:p>
      <w:pPr>
        <w:ind w:left="1680" w:hanging="1025"/>
        <w:spacing w:after="0" w:line="277"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September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10"/>
          </w:tcPr>
          <w:p>
            <w:pPr>
              <w:jc w:val="center"/>
              <w:ind w:right="400"/>
              <w:spacing w:after="0"/>
              <w:rPr>
                <w:sz w:val="20"/>
                <w:szCs w:val="20"/>
                <w:color w:val="auto"/>
              </w:rPr>
            </w:pPr>
            <w:r>
              <w:rPr>
                <w:rFonts w:ascii="Arial" w:cs="Arial" w:eastAsia="Arial" w:hAnsi="Arial"/>
                <w:sz w:val="18"/>
                <w:szCs w:val="18"/>
                <w:b w:val="1"/>
                <w:bCs w:val="1"/>
                <w:color w:val="auto"/>
                <w:w w:val="91"/>
              </w:rPr>
              <w:t>Fair Value Measure at September 30, 2016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Total</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Quoted</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Value at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Market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289</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90"/>
              </w:rPr>
              <w:t>Fair Value Measure at December 31,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Total</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Quoted</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Value at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Market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1,158</w:t>
            </w:r>
          </w:p>
        </w:tc>
        <w:tc>
          <w:tcPr>
            <w:tcW w:w="12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1,158</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711"/>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quantitative information about Level 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acquisition of FotoPunch, Inc. (“FotoPunch”) in July 2014, we recorded contingent consideration based upon the expected achievement of certain milestone goals. We will record any changes to the fair value of contingent consideration due to changes in assumptions used in preparing the valuation model in selling, general and administrative expenses in the Condensed Consolidated Statements of Comprehensive Income (Loss).</w:t>
      </w:r>
    </w:p>
    <w:p>
      <w:pPr>
        <w:spacing w:after="0" w:line="1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Contingent consideration is valued using a multi-scenario discounted cash flow method. The assumptions used in preparing the discounted cash flow method include estimates for outcomes if milestone goals are achieved and the probability of achieving each outcome. Management estimates probabilities and then applies them to management’s conservative case forecast, most likely case forecast and optimistic case forecast with the various scenarios. The Company retained a third party expert to assist in determining the value of the contingent consideration as of December 31, 2015.</w:t>
      </w:r>
    </w:p>
    <w:p>
      <w:pPr>
        <w:spacing w:after="0" w:line="14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valuation of contingent consideration for the FotoPunch acquisition is based on a Monte Carlo simulation model for fiscal 2016 to 2018, with fiscal 2016 being a partial year from January 1, 2016 to September 30, 2016. Management provided revenue projections (an unobservable input) of $650, $2,203 and $3,925 for fiscal 2016 (partial year), fiscal 2017 and fiscal 2018, respectively. The fair value of this valuation is estimated on a quarterly basis through a collaborative effort by the Company’s sales, marketing and finance departments. Significant changes in any of the unobservable inputs used in the fair value measurement of contingent consideration in isolation could result in a significantly lower or higher fair value. A change in projected revenue growth rates would be accompanied by a directionally similar change in fair value. Management evaluates the fair value on a quarterly basis based upon updated projections.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our contingent consideration:</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7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r>
      <w:tr>
        <w:trPr>
          <w:trHeight w:val="223"/>
        </w:trPr>
        <w:tc>
          <w:tcPr>
            <w:tcW w:w="78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1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57"/>
        </w:trPr>
        <w:tc>
          <w:tcPr>
            <w:tcW w:w="78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Funds held for clients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Funds held for clients represent assets that, based upon the Company’s intent, are restricted for use solely for the purposes of satisfying the obligations to remit funds relating to the Company’s payroll and payroll tax filing services, which are classified as client fund obligations on our Condensed Consolidated Balance Sheets. Funds held for clients are held in demand deposit accounts at major financial institutions and are classified as a current asset on our Condensed Consolidated Balance Sheets since these funds are held solely for the purposes of satisfying the client fund obligations.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Client fund obligations represent the Company’s contractual obligations to remit funds to satisfy clients’ payroll and tax payment obligations and are recorded on the Condensed Consolidated Balance Sheets at the time that the Company impounds funds from clients. The client fund obligations represent liabilities that will be repaid within one year of the balance sheet date. The Company has reported client fund obligations as a current liability on the Condensed Consolidated Balance Sheets totaling $12,264 and $0 as of September 30, 2016 and December 31, 2015, respectively. The Company has classified funds held for clients as a current asset since these funds are held solely for the purposes of satisfying client funds obligations. The Company has reported cash flows related to purchases, sales and maturities of corporate and client funds marketable securities on a gross basis in the investing section of the Condensed Statements of Consolidated Cash Flows. The Company has reported cash flows related to client fund investments with original maturities of ninety days or less on a net basis within the net increase in restricted cash and cash equivalents and other restricted assets held to satisfy client fund obligations in the investing section of the Statements of Consolidated Cash Flows. The Company has reported cash flows related to cash received from and paid on behalf of clients on a net basis within the net increase in client fund obligations in the financing activities section of the Condensed Statements of Consolidated Cash Flows.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the stock and asset purchases described below, we have entered into the human resource management, payroll processing and benefits administration services businesses, which we intend to integrate into our existing AsureForce® product 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2016, we acquired all of the issued and outstanding shares of common stock (the “Shares”) of Mangrove Employer Services, Inc. of Tampa, Florida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our credit agreement with Wells Fargo. The Note bears interest at an annual rate of 3.50% and matures in March 2018, with the first installment of principal due in March 2017 and the second installment of principal due in March 2018. The Stock Purchase Agreement contains certain customary representations, warranties, indemnities and covenants. Details regarding the financing of the acquisition are described in the below Notes Payable table. Transaction costs for this acquisition were $706 and we expensed them as incurred. The acquisition costs are included in other income (loss) in the Condensed Consolidated Statement of Comprehensive Income (Loss) for the nine months ended September 30,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2016, we also acquired substantially all the assets of Mangrove COBRAsource Inc., a benefits administration services business which then was a wholly owned subsidiary of Mangrove. The aggregate consideration for the assets was $1,036, which Mangrove COBRAsource applied to pay off certain loan balances. The Asset Purchase Agreement contains certain customary representations, warranties, indemnities and covenants.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is the purchase price allocation for the acquisition of Mangrove. We based the preliminary fair value estimate for the assets acquired and liabilities assumed for this acquisition upon preliminary calculations and valuations. Our estimates and assumptions for this acquisition are subject to change as we obtain additional information for our estimates during the respective measurement periods (up to one year from the acquisition date). The primary areas of those preliminary estimates that we have not yet finalized relate to certain tangible assets and liabilities acquired, certain legal matters and income and non-income based taxes.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recorded the transaction using the acquisition method of accounting and recognized assets and liabilities assumed at their fair value as of the date of acquisition. The $8,700 of intangible assets subject to amortization consist of $1,200 allocated to Customer Relationships, $6,900 in Developed Technology and $600 for Trade Names. We estimated the fair value of the Customer Relationships and Developed Technology using the excess earnings method, a form of the income approach. We discounted cash flow projections using a rate of 18.1%, which reflects the risk associated with the intangible asset related to the other assets and the overall business operations to us. We estimated the fair value of the Trade Names using the relief from royalty method based upon a 1.2% royalty rate for the payroll division and 0.5% for the benefits administration services business.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believes significant synergies are expected to arise from this strategic acquisition. This factor contributed to a purchase price that was in excess of the fair value of the net assets acquired and, as a result, the Company recorded goodwill. A portion of acquired goodwill will be deductible for tax purposes.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We based the allocations on fair values at the date of acquisition:</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Funds held for clients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2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Intangibles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34,765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Client fund obligations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16,765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18,000</w:t>
            </w:r>
          </w:p>
        </w:tc>
        <w:tc>
          <w:tcPr>
            <w:tcW w:w="120" w:type="dxa"/>
            <w:vAlign w:val="bottom"/>
          </w:tcPr>
          <w:p>
            <w:pPr>
              <w:spacing w:after="0"/>
              <w:rPr>
                <w:sz w:val="18"/>
                <w:szCs w:val="18"/>
                <w:color w:val="auto"/>
              </w:rPr>
            </w:pPr>
          </w:p>
        </w:tc>
      </w:tr>
      <w:tr>
        <w:trPr>
          <w:trHeight w:val="21"/>
        </w:trPr>
        <w:tc>
          <w:tcPr>
            <w:tcW w:w="7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unaudited summary of pro forma combined results of operation for the three and nine months ended September 30, 2016 and 2015 gives effect to the acquisition of Mangrove and the acquisition of assets of COBRAsource as if we had completed them on January 1, 2015. This pro forma summary does not reflect any operating efficiencies, cost savings or revenue enhancements that we may achieve by combining operations. In addition, we have not reflected certain non-recurring expenses, such as legal expenses and other transactions expenses for the first 12 months after the acquisition, in the pro forma summary. We present this pro forma summary for informational purposes only and it is not necessarily indicative of what our actual results of operations would have been had the acquisitions taken place as of January 1, 2015, nor is it indicative of future consolidated results of operations.</w:t>
      </w:r>
    </w:p>
    <w:p>
      <w:pPr>
        <w:spacing w:after="0" w:line="16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FOR THE THREE</w:t>
            </w:r>
          </w:p>
        </w:tc>
        <w:tc>
          <w:tcPr>
            <w:tcW w:w="18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FOR THE THREE</w:t>
            </w:r>
          </w:p>
        </w:tc>
      </w:tr>
      <w:tr>
        <w:trPr>
          <w:trHeight w:val="216"/>
        </w:trPr>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MONTHS</w:t>
            </w:r>
          </w:p>
        </w:tc>
        <w:tc>
          <w:tcPr>
            <w:tcW w:w="18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MONTHS</w:t>
            </w:r>
          </w:p>
        </w:tc>
      </w:tr>
      <w:tr>
        <w:trPr>
          <w:trHeight w:val="216"/>
        </w:trPr>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ENDED SEPTEMBER</w:t>
            </w: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ENDED SEPTEMBER 30,</w:t>
            </w:r>
          </w:p>
        </w:tc>
      </w:tr>
      <w:tr>
        <w:trPr>
          <w:trHeight w:val="216"/>
        </w:trPr>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3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(665)</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Basic and 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r>
      <w:tr>
        <w:trPr>
          <w:trHeight w:val="216"/>
        </w:trPr>
        <w:tc>
          <w:tcPr>
            <w:tcW w:w="3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6,534</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6,290</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6,548</w:t>
            </w:r>
          </w:p>
        </w:tc>
        <w:tc>
          <w:tcPr>
            <w:tcW w:w="180" w:type="dxa"/>
            <w:vAlign w:val="bottom"/>
          </w:tcPr>
          <w:p>
            <w:pPr>
              <w:spacing w:after="0"/>
              <w:rPr>
                <w:sz w:val="20"/>
                <w:szCs w:val="20"/>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6,290</w:t>
            </w:r>
          </w:p>
        </w:tc>
      </w:tr>
      <w:tr>
        <w:trPr>
          <w:trHeight w:val="427"/>
        </w:trPr>
        <w:tc>
          <w:tcPr>
            <w:tcW w:w="3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FOR THE NINE</w:t>
            </w:r>
          </w:p>
        </w:tc>
        <w:tc>
          <w:tcPr>
            <w:tcW w:w="180" w:type="dxa"/>
            <w:vAlign w:val="bottom"/>
          </w:tcPr>
          <w:p>
            <w:pPr>
              <w:spacing w:after="0"/>
              <w:rPr>
                <w:sz w:val="24"/>
                <w:szCs w:val="2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FOR THE NINE</w:t>
            </w:r>
          </w:p>
        </w:tc>
      </w:tr>
      <w:tr>
        <w:trPr>
          <w:trHeight w:val="216"/>
        </w:trPr>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MONTHS</w:t>
            </w:r>
          </w:p>
        </w:tc>
        <w:tc>
          <w:tcPr>
            <w:tcW w:w="18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MONTHS</w:t>
            </w:r>
          </w:p>
        </w:tc>
      </w:tr>
      <w:tr>
        <w:trPr>
          <w:trHeight w:val="216"/>
        </w:trPr>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ENDED SEPTEMBER</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30,</w:t>
            </w:r>
          </w:p>
        </w:tc>
        <w:tc>
          <w:tcPr>
            <w:tcW w:w="22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ENDED SEPTEMBER 30,</w:t>
            </w:r>
          </w:p>
        </w:tc>
      </w:tr>
      <w:tr>
        <w:trPr>
          <w:trHeight w:val="241"/>
        </w:trPr>
        <w:tc>
          <w:tcPr>
            <w:tcW w:w="3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26,309</w:t>
            </w: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(1,865)</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Basic and 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r>
      <w:tr>
        <w:trPr>
          <w:trHeight w:val="216"/>
        </w:trPr>
        <w:tc>
          <w:tcPr>
            <w:tcW w:w="3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6,138</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 and Mangrove in 2016.</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our goodwill:</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Goodwill recognized upon acquisition of Mangrove</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adjustments to goodwill</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80" w:type="dxa"/>
            <w:vAlign w:val="bottom"/>
          </w:tcPr>
          <w:p>
            <w:pPr>
              <w:spacing w:after="0"/>
              <w:rPr>
                <w:sz w:val="18"/>
                <w:szCs w:val="18"/>
                <w:color w:val="auto"/>
              </w:rPr>
            </w:pPr>
          </w:p>
        </w:tc>
        <w:tc>
          <w:tcPr>
            <w:tcW w:w="7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September 30, 2016</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26,263</w:t>
            </w:r>
          </w:p>
        </w:tc>
        <w:tc>
          <w:tcPr>
            <w:tcW w:w="120" w:type="dxa"/>
            <w:vAlign w:val="bottom"/>
            <w:tcBorders>
              <w:top w:val="single" w:sz="8" w:color="CCEEFF"/>
            </w:tcBorders>
          </w:tcPr>
          <w:p>
            <w:pPr>
              <w:spacing w:after="0"/>
              <w:rPr>
                <w:sz w:val="18"/>
                <w:szCs w:val="18"/>
                <w:color w:val="auto"/>
              </w:rPr>
            </w:pPr>
          </w:p>
        </w:tc>
      </w:tr>
      <w:tr>
        <w:trPr>
          <w:trHeight w:val="21"/>
        </w:trPr>
        <w:tc>
          <w:tcPr>
            <w:tcW w:w="7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gross carrying amount and accumulated amortization of our intangible assets as of September 30, 2016 and December 31, 2015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6"/>
              </w:rPr>
              <w:t>September 30, 2016</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Accumulated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(9,934)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Trade Names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27,302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(14,523)</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8"/>
              </w:rPr>
              <w:t>December 31, 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Accumulated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(8,959)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Trade Names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18,602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(12,576)</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 amortization expense using the straight-line method over the estimated useful lives of the intangible assets, as noted above. Amortization expenses for the three months ended September 30, 2016 and 2015 were $625 and $505, respectively, included in Operating Expenses. Amortization expenses recorded in Cost of Sales were $106 and $106 for the three months ended September 30, 2016 and 2015, respectively. Amortization expenses for the nine months ended September 30, 2016 and 2015 were $1,628 and $1,514 included in Operating Expenses, and $319 and $236, respectively, included in Cost of Sales.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 as of September 30, 2016:</w:t>
      </w:r>
    </w:p>
    <w:p>
      <w:pPr>
        <w:spacing w:after="0" w:line="221"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Calendar Years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12,779</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Balance as of</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 as of</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Stated Interest</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Mangrove acquisition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3/18/2018</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Term Loan - Wells Fargo</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3/31/2019</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13,687</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31,318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660"/>
              <w:spacing w:after="0"/>
              <w:rPr>
                <w:sz w:val="20"/>
                <w:szCs w:val="20"/>
                <w:color w:val="auto"/>
              </w:rPr>
            </w:pPr>
            <w:r>
              <w:rPr>
                <w:rFonts w:ascii="Arial" w:cs="Arial" w:eastAsia="Arial" w:hAnsi="Arial"/>
                <w:sz w:val="18"/>
                <w:szCs w:val="18"/>
                <w:color w:val="auto"/>
              </w:rPr>
              <w:t>Short-term notes payable, gross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5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Long-term notes payable, gross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12,656</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 2016, we adopted ASU 2015-03 for debt issuance costs on our term loan, on a retrospective basis. The impact of adopting ASU 2015-03 on our current period condensed consolidated financial statements was the classification of all deferred financing costs as a deduction to corresponding debt in addition to the reclassification of deferred financing costs in other current and long term assets to short and long term notes payable as of December 31, 2015, within the Condensed Consolidated Balance Sheets to conform to the current period presentation. The following table summarizes the debt issuance costs as of the dates indicated:</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Gross Notes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 Notes</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Payable at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Payable at</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Debt Issuance</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3760" w:type="dxa"/>
            <w:vAlign w:val="bottom"/>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Costs</w:t>
            </w: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r>
      <w:tr>
        <w:trPr>
          <w:trHeight w:val="216"/>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1"/>
              </w:rPr>
              <w:t>(305)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2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Long-term notes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25,464</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31,318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1"/>
              </w:rPr>
              <w:t>(755)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30,563</w:t>
            </w:r>
          </w:p>
        </w:tc>
        <w:tc>
          <w:tcPr>
            <w:tcW w:w="120" w:type="dxa"/>
            <w:vAlign w:val="bottom"/>
            <w:shd w:val="clear" w:color="auto" w:fill="CCEEFF"/>
          </w:tcPr>
          <w:p>
            <w:pPr>
              <w:spacing w:after="0"/>
              <w:rPr>
                <w:sz w:val="18"/>
                <w:szCs w:val="18"/>
                <w:color w:val="auto"/>
              </w:rPr>
            </w:pPr>
          </w:p>
        </w:tc>
      </w:tr>
      <w:tr>
        <w:trPr>
          <w:trHeight w:val="441"/>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Gross Notes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 Notes</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Payable at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Payable at</w:t>
            </w: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Debt Issuance</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760" w:type="dxa"/>
            <w:vAlign w:val="bottom"/>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Costs</w:t>
            </w: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r>
      <w:tr>
        <w:trPr>
          <w:trHeight w:val="216"/>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1"/>
              </w:rPr>
              <w:t>(122)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Long-term notes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12,384</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1"/>
              </w:rPr>
              <w:t>(394)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13,293</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principal payments related to our outstanding debt:</w:t>
      </w:r>
    </w:p>
    <w:p>
      <w:pPr>
        <w:spacing w:after="0" w:line="221"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Gross Amount</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19,641</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Notes Payable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31,318</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2014, we entered into a credit agreement (the “Credit Agreement”) with Wells Fargo Bank, N.A., as administrative agent, and the lenders that are party thereto. 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 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provided for a term loan in the amount of $15,000 maturing in March 2019. We used the proceeds of the term loan to finance the repayment of all amounts outstanding under our loan agreement with Deerpath and the payment of certain fees, cost and expenses related to the Credit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also provided for a revolving loan commitment in the aggregate amount of up to $3,000. The outstanding principal amount of the revolving loan is due and payable in March 2019. As of September 30, 2016, $206 was outstanding and $2,800 was available for borrowing under the revolver.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Credit Agreement provided for a $10,000 uncommitted incremental term loan facility to support permitted acquisitions.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Credit Agreement, we were required to maintain a fixed charge coverage ratio of not less than 1.5 to 1.0 beginning with the quarter ended June 30, 2014 and each calendar quarter thereafter, and a leverage ratio of not greater than 3.5 to 1.0 beginning with the quarter ended June 30, 2014 with the levels stepping down thereafter. We amended the Credit Agreement in August 2014, March 2015 and November 2015. The August 2014 amendment revised the leverage ratio beginning with the quarter ended September 30, 2014 to a leverage ratio of not greater than 3.6 to 1.0 with the levels stepping down thereafter. The March 2015 amendment authorized us to optionally prepay, subject to specified conditions, the Subordinated Note Payable to Roomtag and revised the leverage ratio beginning with the quarter ended March 31, 2015 to a leverage ratio of not greater than 3.5 to 1.0 with the levels stepping down thereafter.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2016, we amended the Credit Agreement. Under this amendment, we expanded the Credit Agreement by $12,500 to $29,188. The amendment changes the applicable margin rates for determining the interest rate payable on the loan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rPr>
              <w:t>Base Rate</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LIBOR Rate</w:t>
            </w:r>
          </w:p>
        </w:tc>
        <w:tc>
          <w:tcPr>
            <w:tcW w:w="2840" w:type="dxa"/>
            <w:vAlign w:val="bottom"/>
          </w:tcPr>
          <w:p>
            <w:pPr>
              <w:spacing w:after="0"/>
              <w:rPr>
                <w:sz w:val="18"/>
                <w:szCs w:val="18"/>
                <w:color w:val="auto"/>
              </w:rPr>
            </w:pPr>
          </w:p>
        </w:tc>
      </w:tr>
      <w:tr>
        <w:trPr>
          <w:trHeight w:val="241"/>
        </w:trPr>
        <w:tc>
          <w:tcPr>
            <w:tcW w:w="288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Leverage Ratio</w:t>
            </w:r>
          </w:p>
        </w:tc>
        <w:tc>
          <w:tcPr>
            <w:tcW w:w="100" w:type="dxa"/>
            <w:vAlign w:val="bottom"/>
          </w:tcPr>
          <w:p>
            <w:pPr>
              <w:spacing w:after="0"/>
              <w:rPr>
                <w:sz w:val="20"/>
                <w:szCs w:val="20"/>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Margin</w:t>
            </w:r>
          </w:p>
        </w:tc>
        <w:tc>
          <w:tcPr>
            <w:tcW w:w="34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2.75:1</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&gt; 2.75:1 but ≤ 3.25:1</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4.00%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3.25:1</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c>
          <w:tcPr>
            <w:tcW w:w="2840" w:type="dxa"/>
            <w:vAlign w:val="bottom"/>
          </w:tcPr>
          <w:p>
            <w:pPr>
              <w:spacing w:after="0"/>
              <w:rPr>
                <w:sz w:val="18"/>
                <w:szCs w:val="18"/>
                <w:color w:val="auto"/>
              </w:rPr>
            </w:pPr>
          </w:p>
        </w:tc>
      </w:tr>
      <w:tr>
        <w:trPr>
          <w:trHeight w:val="596"/>
        </w:trPr>
        <w:tc>
          <w:tcPr>
            <w:tcW w:w="2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6"/>
        </w:trPr>
        <w:tc>
          <w:tcPr>
            <w:tcW w:w="28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March 2016 amendment also amends our leverage ratio requirements under the Credit Agreement. We have now agreed to a leverage ratio not to exceed 5.00:1 at March 31, 2016, stepping down to 2.25:1 at December 31, 2018.</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principal amount of the term loan is payable as follows:</w:t>
      </w:r>
    </w:p>
    <w:p>
      <w:pPr>
        <w:spacing w:after="0" w:line="252" w:lineRule="exact"/>
        <w:rPr>
          <w:sz w:val="20"/>
          <w:szCs w:val="20"/>
          <w:color w:val="auto"/>
        </w:rPr>
      </w:pPr>
    </w:p>
    <w:p>
      <w:pPr>
        <w:ind w:left="1160" w:hanging="50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$491 on June 30, 2016 and the last day of each fiscal quarter thereafter up to March 31, 2017; and</w:t>
      </w:r>
    </w:p>
    <w:p>
      <w:pPr>
        <w:spacing w:after="0" w:line="23" w:lineRule="exact"/>
        <w:rPr>
          <w:rFonts w:ascii="Arial" w:cs="Arial" w:eastAsia="Arial" w:hAnsi="Arial"/>
          <w:sz w:val="18"/>
          <w:szCs w:val="18"/>
          <w:color w:val="auto"/>
        </w:rPr>
      </w:pPr>
    </w:p>
    <w:p>
      <w:pPr>
        <w:ind w:left="1160" w:hanging="504"/>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$655 on June 30, 2017 and the last day of each fiscal quarter thereafter, with a final payment of the remaining balance due on March 31, 2019</w:t>
      </w:r>
    </w:p>
    <w:p>
      <w:pPr>
        <w:spacing w:after="0" w:line="2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2016, we were in compliance with all covenants and all payments remain current. We expect to be in compliance or be able to obtain compliance through debt repayments with available cash on hand or as we expect to generate from the ordinary course of operations over the next twelve months.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Subordinated Notes Payable: Mangrove Acquisition Note</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2016, we acquired all of the issued and outstanding shares of common stock (the “Shares”) of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the Credit Agreement with Wells Fargo. The Note bears interest at an annual rate of 3.50% and matures in March 2018, with the first installment of principal of $3,000 due in March 2017 and the second installment of principal of $3,000 due in March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Share based compensation for our stock option plans for the three months ended September 30, 2016 and 2015 were $60 and $237, respectively, and $166 and $335 for the nine months ended September 30, 2016 and 2015, respectively. We issued 15,000 shares of common stock related to exercises of stock options granted from our Stock Option Plan for the three months ended September 30, 2016 and 0 shares for the three months ended September 30, 2015, respectively.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452,000 options granted and outstanding pursuant to the 2009 Plan as of September 30, 2016.</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INCOME (LOSS)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Comprehensive income (loss) represents a measure of all changes in equity that result from recognized transactions and other economic events other than those resulting from investments by and distributions to shareholders. Our other comprehensive income (loss) includes foreign currency translation adjustments.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Foreign</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Income (Loss)</w:t>
            </w:r>
          </w:p>
        </w:tc>
      </w:tr>
      <w:tr>
        <w:trPr>
          <w:trHeight w:val="241"/>
        </w:trPr>
        <w:tc>
          <w:tcPr>
            <w:tcW w:w="536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Currency Items</w:t>
            </w: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Items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Amounts reclassified from accumulated other comprehensive income</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current-period other comprehensive income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September 30, 2016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INCOME (LOSS) PER SHARE</w:t>
      </w:r>
    </w:p>
    <w:p>
      <w:pPr>
        <w:spacing w:after="0" w:line="25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compute net income (loss) per share based on the weighted average number of common shares outstanding for the period. Diluted net income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114,000 shares for the three months ended September 30, 2015 and 452,000 shares for the nine months ended September 30, 2016 and 684,000 shares for the nine months ended September 30, 2015, respectively, from the computation of the dilutive stock options because the effect of including the stock options would have been anti-dilutive.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 (loss) per common share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8"/>
                <w:szCs w:val="18"/>
                <w:color w:val="auto"/>
              </w:rPr>
            </w:pPr>
          </w:p>
        </w:tc>
        <w:tc>
          <w:tcPr>
            <w:tcW w:w="27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Ended September 30,</w:t>
            </w:r>
          </w:p>
        </w:tc>
        <w:tc>
          <w:tcPr>
            <w:tcW w:w="280" w:type="dxa"/>
            <w:vAlign w:val="bottom"/>
          </w:tcPr>
          <w:p>
            <w:pPr>
              <w:spacing w:after="0"/>
              <w:rPr>
                <w:sz w:val="20"/>
                <w:szCs w:val="20"/>
                <w:color w:val="auto"/>
              </w:rPr>
            </w:pPr>
          </w:p>
        </w:tc>
        <w:tc>
          <w:tcPr>
            <w:tcW w:w="27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outstanding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6,290,000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6,383,000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Dilutive effect of employee stock options</w:t>
            </w:r>
          </w:p>
        </w:tc>
        <w:tc>
          <w:tcPr>
            <w:tcW w:w="2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for diluted net income (loss) per share</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6,290,000</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6,383,000</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0.05</w:t>
            </w:r>
          </w:p>
        </w:tc>
        <w:tc>
          <w:tcPr>
            <w:tcW w:w="2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(0.09</w:t>
            </w: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(0.17)</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72"/>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and laws; changes in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changes in the Internet infrastructure; and changes in accounting standards. Asure is under no obligation to update any of the forward-looking statements after the date of this Form 10-Q to conform such statements to actual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review of Asure’s financial position as of September 30, 2016 and December 31, 2015 and the results of operations and cash flows for the three and nine months ended September 30, 2016 and 2015 should be read in conjunction with our 2015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Asure is a leading global provider of cloud-based software-as-a-service (“SaaS”) time and labor management and Agile Workplace management solutions that enable companies of all sizes and complexities to operate more efficiently and proactively manage costs associated with their most expensive assets: real estate, labor and technology.</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offer two main product lines, AsureSpace™ and AsureForce®. Our AsureSpace™ Agile Workplace management solutions enable organizations to manage their office environments and optimize real estate utilization. Our AsureForce® time and labor management solutions help organizations optimize labor and labor administration costs and activities. With our acquisitions of Mangrove Employer Services, Inc. and the assets of Mangrove COBRAsource Inc. in March 2016, we have entered into the human resource management, payroll processing and benefits administration services businesses, which we are integrating into our existing AsureForce® product line.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Condensed Consolidated Statements of Comprehensive Income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rPr>
              <w:t>FOR THE THREE MONTHS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rPr>
              <w:t>ENDED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FOR THE NINE MONTHS ENDED</w:t>
            </w: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4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7"/>
              </w:rPr>
              <w:t>SEPTEMBER 30,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78.5</w:t>
            </w:r>
          </w:p>
        </w:tc>
        <w:tc>
          <w:tcPr>
            <w:tcW w:w="10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73.7</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77.0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73.8</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58.1</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w:t>
            </w: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10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11.8</w:t>
            </w:r>
          </w:p>
        </w:tc>
        <w:tc>
          <w:tcPr>
            <w:tcW w:w="3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68.1</w:t>
            </w:r>
          </w:p>
        </w:tc>
        <w:tc>
          <w:tcPr>
            <w:tcW w:w="10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77.5</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72.4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(4.2)</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102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(8.6)</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AND NINE MONTHS ENDED SEPTEMBER 30, 2016 AND 2015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gridSpan w:val="2"/>
          </w:tcPr>
          <w:p>
            <w:pPr>
              <w:ind w:left="640"/>
              <w:spacing w:after="0"/>
              <w:rPr>
                <w:sz w:val="20"/>
                <w:szCs w:val="20"/>
                <w:color w:val="auto"/>
              </w:rPr>
            </w:pPr>
            <w:r>
              <w:rPr>
                <w:rFonts w:ascii="Arial" w:cs="Arial" w:eastAsia="Arial" w:hAnsi="Arial"/>
                <w:sz w:val="18"/>
                <w:szCs w:val="18"/>
                <w:color w:val="auto"/>
              </w:rPr>
              <w:t>Our revenue was derived from the following sources: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rPr>
              <w:t>FOR THE THREE</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rPr>
              <w:t>MONTHS ENDED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7"/>
              </w:rPr>
              <w:t>SEPTEMBER 30,</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Increase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9,440</w:t>
            </w:r>
          </w:p>
        </w:tc>
        <w:tc>
          <w:tcPr>
            <w:tcW w:w="2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6,654</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2,786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rPr>
              <w:t>FOR THE NINE</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rPr>
              <w:t>MONTHS ENDED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7"/>
              </w:rPr>
              <w:t>SEPTEMBER 30,</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Increase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2,467</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25,826</w:t>
            </w:r>
          </w:p>
        </w:tc>
        <w:tc>
          <w:tcPr>
            <w:tcW w:w="2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20,145</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5,681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FotoPunch and Mangrove revenues.</w:t>
      </w:r>
    </w:p>
    <w:p>
      <w:pPr>
        <w:sectPr>
          <w:pgSz w:w="11900" w:h="16838" w:orient="portrait"/>
          <w:cols w:equalWidth="0" w:num="1">
            <w:col w:w="11420"/>
          </w:cols>
          <w:pgMar w:left="240" w:top="118"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revenue for the three months ended September 30, 2016 was $9,440, an increase of $2,786, or 41.9%, from the $6,654 reported for the three months ended September 30, 2015. Cloud revenue increased $2,217 from the third quarter of 2015 due to our continued emphasis on selling integrated cloud based solutions.</w:t>
      </w:r>
    </w:p>
    <w:p>
      <w:pPr>
        <w:spacing w:after="0" w:line="208" w:lineRule="exact"/>
        <w:rPr>
          <w:sz w:val="20"/>
          <w:szCs w:val="20"/>
          <w:color w:val="auto"/>
        </w:rPr>
      </w:pPr>
    </w:p>
    <w:p>
      <w:pPr>
        <w:jc w:val="both"/>
        <w:ind w:firstLine="688"/>
        <w:spacing w:after="0" w:line="297" w:lineRule="auto"/>
        <w:rPr>
          <w:sz w:val="20"/>
          <w:szCs w:val="20"/>
          <w:color w:val="auto"/>
        </w:rPr>
      </w:pPr>
      <w:r>
        <w:rPr>
          <w:rFonts w:ascii="Arial" w:cs="Arial" w:eastAsia="Arial" w:hAnsi="Arial"/>
          <w:sz w:val="16"/>
          <w:szCs w:val="16"/>
          <w:color w:val="auto"/>
        </w:rPr>
        <w:t>AsureSpace™ revenue for the three months ended September 30, 2016 was $4,233, a slight increase of $150 or 3.7%, from the $4,083 recorded for the three months ended September 30, 2015. AsureSpace™ cloud, professional services and on premise software license revenues increased, offset by decreases in hardware and maintenance and support revenues. Cloud revenue increased $200, or 10.8%, and professional services revenue increased $319, or 45.7%, over the three months ended September 30, 2015. Hardware and maintenance and support revenues decreased $225, or 47.5%, and $194, or 20.5%, respectively, primarily caused by the movement of customers from on premise to on demand, cloud based solutions.</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AsureForce® revenue for the three months ended September 30, 2016 was $5,207, an increase of $2,636, or 102.5%, from the $2,571 recorded for the three months ended September 30, 2015. This increase was primarily due to the acquisition of Mangrove in March 2016, resulting in $2,120 of revenue in the third quarter of 2016. Cloud, hardware, on premise software license and professional services revenues increased, with the largest increases in cloud revenue of $2,015, or 128.4%, on premise software license revenue of $462, or 378.0% and professional services revenue of $252, or 778.1%, over the three months ended September 30, 2015. These increases were offset by a decrease in AsureForce® maintenance and support revenue of $160, or 33.0%, as compared to the three months ended September 30, 2015 mainly due to timing and size of contracts and renewals and our continued emphasis on transitioning from on premise to on demand, cloud based services.</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Total revenue for the nine months ended September 30, 2016 were $25,826, an increase of $5,681, or 28.2%, from the $20,145 reported for the nine months ended September 30, 2015. This increase was primarily due to an increase in cloud and professional services, offset by a decrease in maintenance and support revenue. AsureSpace™ revenue for the nine months ended September 30, 2016 was $12,673, an increase of $559, or 4.6%, from the $12,114 recorded for the nine months ended September 30, 2015. This increase was primarily due to an increase in cloud revenue and professional services revenue, offset by decreases in hardware, maintenance and support and on premise software license revenue. AsureForce® revenue for the nine months ended September 30, 2016 was $13,153, an increase of $5,121, or 63.8%, from the $8,032 recorded for the nine months ended September 30, 2015. This increase was primarily due to an increase in cloud revenue, hardware revenue, on premise software license revenue and professional services revenue, offset by a decrease in maintenance and support revenue.</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our total customer base is widely spread across industries, our sales are concentrated in certain industry sectors, including corporate, education, healthcare, government, legal and non-profit. We continue to target small and medium sized businesses and divisions of larger enterprises in these same industries as prospective customers.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continuing to develop our workforce and Agile Workplace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cloud-based Agile Workplace technologies. Our March 2016 acquisitions from Mangrove enable us to enter into the human resource management, payroll processing and benefits administration services businesses, which we are integrating into our existing AsureForce® product line.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Consolidated gross margin for the three months ended September 30, 2016 was $7,414, an increase of $2,510, or 51.2%, from the $4,904 reported for the three months ended September 30, 2015. Gross margin as a percentage of revenues was 78.5% and 73.7% for the three months ended September 30, 2016 and 2015, respectively. Consolidated gross margin for the nine months ended September 30, 2016 was $19,894, an increase of $5,030, or 33.8%, from the $14,864 reported for the nine months ended September 30, 2015. Gross margins as a percentage of revenues were 77.0% and 73.8% for the nine months ended September 30, 2016 and 2015, respectively. We attribute the increase in gross margin to a shift in the mix of our revenue between our higher margin and lower margin product lines as well as the addition of Mangrove in the first quarter of 2016.</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(“SG&amp;A”) expenses for the three months ended September 30, 2016 were $5,046, an increase of $1,180, or 30.5%, from the $3,866 reported for the three months ended September 30, 2015. SG&amp;A expenses as a percentage of revenues were 53.5% and 58.1% for the three months ended September 30, 2016 and 2015, respectively.</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(“SG&amp;A”) expenses for the nine months ended September 30, 2016 were $14,853, an increase of $3,927, or 35.9%, from the $10,926 reported for the nine months ended September 30, 2015. SG&amp;A expenses as a percentage of revenues were 57.5% and 54.2% for the nine months ended September 30, 2016 and 2015, respectively.</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SG&amp;A expenses were higher in the three and nine months ended September 30, 2016 as compared to the same periods in 2015 due to integration expenses related to the acquisition of Mangrove in the first quarter of 2016.</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2015, we reorganized our sales team to increase our focus on larger deals in the enterprise and global markets, resulting in higher headcount and increased selling expenses. We continue to evaluate any unnecessary expenses and any increases in SG&amp;A designed to enhance future revenue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(“R&amp;D”) expenses for the three months ended September 30, 2016 were $761, a slight decrease of $25, or 3.2%, from the $786 reported for the three months ended September 30, 2015. R&amp;D expenses as a percentage of revenues were 8.1% and 11.8% for the three months ended September 30, 2016 and 2015,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(“R&amp;D”) expenses for the nine months ended September 30, 2016 were $2,217, a slight decrease of $50, or 2.2%, from the $2,267 reported for the nine months ended September 30, 2015. R&amp;D expenses as a percentage of revenues were 8.6% and 11.3% for the nine months ended September 30, 2016 and 2015, respectively.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improve our products and technologies through organic improvements as well as through acquired intellectual property. We believe that our expanded investment in SaaS hosting, mobile and hardware technologies lays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Amortization expenses for the three months ended September 30, 2016 were $625, an increase of $120, or 23.8%, from the $505 reported for the three months ended September 30, 2015. Amortization expenses as a percentage of revenues were 6.6% and 7.6% for the three months ended September 30, 2016 and 2015, respectively. Amortization expenses for the nine months ended September 30, 2016 were $1,628, an increase of $114, or 7.5% compared to $1,514, reported for the nine months ended September 30, 2015. Amortization expenses as a percentage of revenues were 6.3% and 7.5% for the nine months ended September 30, 2016 and 2015,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Loss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loss for the three months ended September 30, 2016 was $620, an increase of $342, or 123.0%, from the $278 reported for the three months ended September 30, 2015. Other loss as a percentage of revenues was 6.6% and 4.2% for the three months ended September 30, 2016 and 2015, respectively. Other loss for the three months ended September 30, 2016 and September 30, 2015 are composed primarily of interest expense on notes payable.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Other loss for the nine months ended September 30, 2016 was $2,166, an increase of $1,192, or 122.4%, from the $974 reported for the nine months ended September 30, 2015. Other loss as a percentage of revenues was 8.4% and 4.8% for the nine months ended September 30, 2016 and 2015, respectively. Other loss for the nine months ended September 30, 2016 is composed primarily of $706 in one-time professional expenses related to the acquisition of Mangrove in March 2016 and interest expense on notes payable. Other loss for the nine months ended September 30, 2015 is composed primarily of interest expense on notes payable of $839 and a loss on lease termination of $110.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Provision for income tax expense for the three months ended September 30, 2016 was $47, a slight increase of $4, or 9.3%, from the $43 reported for the three months ended September 30, 2015, respectively.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Provision for income tax expense for the nine months ended September 30, 2016 was $133, a decrease of $12, or 8.3%, from the $145 reported for the nine months ended September 30,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recognized net income of $315, or $0.05 per share, during the three months ended September 30, 2016, compared to net loss of $574, or $(0.09) per share, during the three months ended September 30, 2015. Net income as a percentage of total revenues was 3.3% for the three months ended September 30, 2016 compared to net loss of 8.6% of total revenues for the three months ended September 30, 2015.</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incurred a net loss of $1,103, or $(0.17) per share, during the nine months ended September 30, 2016, compared to a net loss of $962, or $(0.16) per share reported for the nine months ended September 30, 2015. Net loss as a percentage of total revenues was 4.3% for the nine months ended September 30, 2016 compared to net loss of 4.8% of total revenues for the nine months ended June 30, 2015.</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 (Amounts 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5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4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(8,593)</w:t>
            </w:r>
          </w:p>
        </w:tc>
      </w:tr>
      <w:tr>
        <w:trPr>
          <w:trHeight w:val="230"/>
        </w:trPr>
        <w:tc>
          <w:tcPr>
            <w:tcW w:w="14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1,158</w:t>
            </w:r>
          </w:p>
        </w:tc>
      </w:tr>
      <w:tr>
        <w:trPr>
          <w:trHeight w:val="400"/>
        </w:trPr>
        <w:tc>
          <w:tcPr>
            <w:tcW w:w="1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6"/>
              </w:rPr>
              <w:t>For the Nine Months Ended</w:t>
            </w:r>
          </w:p>
        </w:tc>
      </w:tr>
      <w:tr>
        <w:trPr>
          <w:trHeight w:val="241"/>
        </w:trPr>
        <w:tc>
          <w:tcPr>
            <w:tcW w:w="14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4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operating activities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1,993</w:t>
            </w:r>
          </w:p>
        </w:tc>
      </w:tr>
      <w:tr>
        <w:trPr>
          <w:trHeight w:val="216"/>
        </w:trPr>
        <w:tc>
          <w:tcPr>
            <w:tcW w:w="1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(7,750)</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(1,272)</w:t>
            </w:r>
          </w:p>
        </w:tc>
      </w:tr>
      <w:tr>
        <w:trPr>
          <w:trHeight w:val="216"/>
        </w:trPr>
        <w:tc>
          <w:tcPr>
            <w:tcW w:w="14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u w:val="single" w:color="auto"/>
          <w:color w:val="auto"/>
        </w:rPr>
        <w:t>Working Capital</w:t>
      </w:r>
      <w:r>
        <w:rPr>
          <w:rFonts w:ascii="Arial" w:cs="Arial" w:eastAsia="Arial" w:hAnsi="Arial"/>
          <w:sz w:val="17"/>
          <w:szCs w:val="17"/>
          <w:color w:val="auto"/>
        </w:rPr>
        <w:t>. We had a working capital deficit of $10,741 at September 30, 2016, an increase in our deficit of $2,148 from the $8,593 deficit at December 31, 2015. The working capital deficit at September 30, 2016 and December 31, 2015 includes $8,905 and $10,803 of deferred revenue, respectively. Deferred revenue is an obligation to perform future services. We expect that deferred revenue will convert to future revenue as we perform our services, but this does not represent future payments. Deferred revenue can vary based on seasonality, expiration of initial multi-year contracts and deals that are billed after implementation rather than in advance of service delivery. We attribute the increase in our working capital deficit primarily to an increase in our current notes payable of $4,190, due primarily to the acquisition of Mangrove in the first quarter of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Operating Activities</w:t>
      </w:r>
      <w:r>
        <w:rPr>
          <w:rFonts w:ascii="Arial" w:cs="Arial" w:eastAsia="Arial" w:hAnsi="Arial"/>
          <w:sz w:val="17"/>
          <w:szCs w:val="17"/>
          <w:color w:val="auto"/>
        </w:rPr>
        <w:t>. Cash used in operating activities was $730 for the nine months ended September 30, 2016. The $730 of cash used in operating activities during the first nine months of 2016 was primarily driven by net income (after adjustment for non-cash items) of $1,893, a decrease in inventory and prepaid expenses and other assets of $169 and $124, respectively, and an increase in other accrued liabilities of $951. This was offset by an increase in accounts receivable of $1,678, a decrease in deferred revenue of $2,000 and a decrease in accounts payable of $189. The $1,993 of cash provided by operating activities during the first nine months of 2015 was primarily driven by net income (after adjustment for non-cash items) of $1,799, a decrease in accounts receivable of $977, and an increase in accounts payable of $542 and accrued expenses of $354. This was offset by an increase in inventory of $530, an increase in prepaid expenses and other assets of $927, and a decrease in deferred revenue of $222.</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Cash used in investing activities was $7,750 and $1,272 for the nine months ended September 30, 2016 and September 30, 2015, respectively, due primarily to the acquisition of Mangrove in the first quarter of 2016, offset by the decrease in funds held for clients and due to net purchases of property and equipment in the nine months ended September 30, 2015.</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Cash provided by financing activities was $7,460 for the nine months ended September 30, 2016. We incurred $16,823 of debt and collected $561 of net proceeds from exercise of stock options. This was offset by payments on notes payable of $5,173, $4,155 decrease of client fund obligations, and debt financing fees of $438. Cash used in financing activities was $914 for the nine months ended September 30, 2015. We incurred $4,250 of debt and collected $585 of net proceeds from exercise of stock options. This was offset by note payments of $5,527, payments on capital leases of $147, and debt financing fees of $75.</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Sources of Liquidity</w:t>
      </w:r>
      <w:r>
        <w:rPr>
          <w:rFonts w:ascii="Arial" w:cs="Arial" w:eastAsia="Arial" w:hAnsi="Arial"/>
          <w:sz w:val="17"/>
          <w:szCs w:val="17"/>
          <w:color w:val="auto"/>
        </w:rPr>
        <w:t>. As of September 30, 2016, Asure’s principal sources of liquidity consisted of approximately $289 of cash and future cash generated from operations.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our available cash on hand or anticipated for receipt in the ordinary course of operations.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Capital Resources</w:t>
      </w:r>
      <w:r>
        <w:rPr>
          <w:rFonts w:ascii="Arial" w:cs="Arial" w:eastAsia="Arial" w:hAnsi="Arial"/>
          <w:sz w:val="18"/>
          <w:szCs w:val="18"/>
          <w:color w:val="auto"/>
        </w:rPr>
        <w:t>. At September 30, 2016, we had $25,205 outstanding under our credit agreement with Wells Fargo. Available funds were approximately $0 under the term credit facility and approximately $2,800 under the revolving credit facility at September 30, 2016. For further discussion regarding debt and financing arrangements, see Note 6 to the accompanying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2015. For additional information on critical accounting policies, refer to “Management’s Discussion and Analysis” in our 2015 Annual Report on Form 10-K.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September 30, 2016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ended September 30, 2016, there were no changes in our internal control over financial reporting that have materially affected, or are reasonably likely to materially affect, our internal control over financial reporting.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Subsequent to September 30, 2016, the Board approved the reimbursement of up to $120,000 for expenses to be incurred by the Chief Executive Officer in connection with his move to Austin, Texas, where our administrative offices are headquartered and approval of a salary increase for the Chief Executive Officer from $300,000 to $350,000 effective October 1, 2016, with a target bonus of 60% of his salary effective January 1, 2017. The Board also approved a salary increase for the Chief Financial Officer from $200,000 to $225,000 effective October 1, 2016, with a target bonus of 40% of his salary effective January 1, 2017 and approved a salary increase for the Chief Operating Officer from $200,000 to $240,000 effective October 1, 2016, with a target bonus of 40% of his salary effective January 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9"/>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2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September 30, 2016,</w:t>
            </w:r>
          </w:p>
        </w:tc>
      </w:tr>
    </w:tbl>
    <w:p>
      <w:pPr>
        <w:jc w:val="both"/>
        <w:ind w:left="2080"/>
        <w:spacing w:after="0" w:line="255"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700" w:type="dxa"/>
            <w:vAlign w:val="bottom"/>
            <w:gridSpan w:val="3"/>
          </w:tcPr>
          <w:p>
            <w:pPr>
              <w:ind w:left="1560"/>
              <w:spacing w:after="0"/>
              <w:rPr>
                <w:sz w:val="20"/>
                <w:szCs w:val="20"/>
                <w:color w:val="auto"/>
              </w:rPr>
            </w:pPr>
            <w:r>
              <w:rPr>
                <w:rFonts w:ascii="Arial" w:cs="Arial" w:eastAsia="Arial" w:hAnsi="Arial"/>
                <w:sz w:val="18"/>
                <w:szCs w:val="18"/>
                <w:b w:val="1"/>
                <w:bCs w:val="1"/>
                <w:color w:val="auto"/>
              </w:rPr>
              <w:t>ASURE SOFTWARE, INC.</w:t>
            </w:r>
          </w:p>
        </w:tc>
        <w:tc>
          <w:tcPr>
            <w:tcW w:w="1700" w:type="dxa"/>
            <w:vAlign w:val="bottom"/>
          </w:tcPr>
          <w:p>
            <w:pPr>
              <w:spacing w:after="0"/>
              <w:rPr>
                <w:sz w:val="20"/>
                <w:szCs w:val="20"/>
                <w:color w:val="auto"/>
              </w:rPr>
            </w:pPr>
          </w:p>
        </w:tc>
      </w:tr>
      <w:tr>
        <w:trPr>
          <w:trHeight w:val="655"/>
        </w:trPr>
        <w:tc>
          <w:tcPr>
            <w:tcW w:w="3020" w:type="dxa"/>
            <w:vAlign w:val="bottom"/>
          </w:tcPr>
          <w:p>
            <w:pPr>
              <w:spacing w:after="0"/>
              <w:rPr>
                <w:sz w:val="20"/>
                <w:szCs w:val="20"/>
                <w:color w:val="auto"/>
              </w:rPr>
            </w:pPr>
            <w:r>
              <w:rPr>
                <w:rFonts w:ascii="Arial" w:cs="Arial" w:eastAsia="Arial" w:hAnsi="Arial"/>
                <w:sz w:val="18"/>
                <w:szCs w:val="18"/>
                <w:color w:val="auto"/>
              </w:rPr>
              <w:t>November 14, 2016</w:t>
            </w:r>
          </w:p>
        </w:tc>
        <w:tc>
          <w:tcPr>
            <w:tcW w:w="2220" w:type="dxa"/>
            <w:vAlign w:val="bottom"/>
          </w:tcPr>
          <w:p>
            <w:pPr>
              <w:ind w:left="1560"/>
              <w:spacing w:after="0"/>
              <w:rPr>
                <w:sz w:val="20"/>
                <w:szCs w:val="20"/>
                <w:color w:val="auto"/>
              </w:rPr>
            </w:pPr>
            <w:r>
              <w:rPr>
                <w:rFonts w:ascii="Arial" w:cs="Arial" w:eastAsia="Arial" w:hAnsi="Arial"/>
                <w:sz w:val="18"/>
                <w:szCs w:val="18"/>
                <w:color w:val="auto"/>
              </w:rPr>
              <w:t>By:</w:t>
            </w:r>
          </w:p>
        </w:tc>
        <w:tc>
          <w:tcPr>
            <w:tcW w:w="50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GOEPEL</w:t>
            </w:r>
          </w:p>
        </w:tc>
        <w:tc>
          <w:tcPr>
            <w:tcW w:w="1700" w:type="dxa"/>
            <w:vAlign w:val="bottom"/>
          </w:tcPr>
          <w:p>
            <w:pPr>
              <w:spacing w:after="0"/>
              <w:rPr>
                <w:sz w:val="24"/>
                <w:szCs w:val="24"/>
                <w:color w:val="auto"/>
              </w:rPr>
            </w:pPr>
          </w:p>
        </w:tc>
      </w:tr>
      <w:tr>
        <w:trPr>
          <w:trHeight w:val="202"/>
        </w:trPr>
        <w:tc>
          <w:tcPr>
            <w:tcW w:w="3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Patrick Goepel</w:t>
            </w:r>
          </w:p>
        </w:tc>
        <w:tc>
          <w:tcPr>
            <w:tcW w:w="1700" w:type="dxa"/>
            <w:vAlign w:val="bottom"/>
          </w:tcPr>
          <w:p>
            <w:pPr>
              <w:spacing w:after="0"/>
              <w:rPr>
                <w:sz w:val="17"/>
                <w:szCs w:val="17"/>
                <w:color w:val="auto"/>
              </w:rPr>
            </w:pPr>
          </w:p>
        </w:tc>
      </w:tr>
      <w:tr>
        <w:trPr>
          <w:trHeight w:val="230"/>
        </w:trPr>
        <w:tc>
          <w:tcPr>
            <w:tcW w:w="3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00" w:type="dxa"/>
            <w:vAlign w:val="bottom"/>
          </w:tcPr>
          <w:p>
            <w:pPr>
              <w:spacing w:after="0"/>
              <w:rPr>
                <w:sz w:val="20"/>
                <w:szCs w:val="20"/>
                <w:color w:val="auto"/>
              </w:rPr>
            </w:pPr>
          </w:p>
        </w:tc>
      </w:tr>
      <w:tr>
        <w:trPr>
          <w:trHeight w:val="439"/>
        </w:trPr>
        <w:tc>
          <w:tcPr>
            <w:tcW w:w="3020" w:type="dxa"/>
            <w:vAlign w:val="bottom"/>
          </w:tcPr>
          <w:p>
            <w:pPr>
              <w:spacing w:after="0"/>
              <w:rPr>
                <w:sz w:val="20"/>
                <w:szCs w:val="20"/>
                <w:color w:val="auto"/>
              </w:rPr>
            </w:pPr>
            <w:r>
              <w:rPr>
                <w:rFonts w:ascii="Arial" w:cs="Arial" w:eastAsia="Arial" w:hAnsi="Arial"/>
                <w:sz w:val="18"/>
                <w:szCs w:val="18"/>
                <w:color w:val="auto"/>
              </w:rPr>
              <w:t>November 14, 2016</w:t>
            </w:r>
          </w:p>
        </w:tc>
        <w:tc>
          <w:tcPr>
            <w:tcW w:w="2220" w:type="dxa"/>
            <w:vAlign w:val="bottom"/>
          </w:tcPr>
          <w:p>
            <w:pPr>
              <w:ind w:left="1560"/>
              <w:spacing w:after="0"/>
              <w:rPr>
                <w:sz w:val="20"/>
                <w:szCs w:val="20"/>
                <w:color w:val="auto"/>
              </w:rPr>
            </w:pPr>
            <w:r>
              <w:rPr>
                <w:rFonts w:ascii="Arial" w:cs="Arial" w:eastAsia="Arial" w:hAnsi="Arial"/>
                <w:sz w:val="18"/>
                <w:szCs w:val="18"/>
                <w:color w:val="auto"/>
              </w:rPr>
              <w:t>By:</w:t>
            </w:r>
          </w:p>
        </w:tc>
        <w:tc>
          <w:tcPr>
            <w:tcW w:w="50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WOLFE</w:t>
            </w:r>
          </w:p>
        </w:tc>
        <w:tc>
          <w:tcPr>
            <w:tcW w:w="1700" w:type="dxa"/>
            <w:vAlign w:val="bottom"/>
          </w:tcPr>
          <w:p>
            <w:pPr>
              <w:spacing w:after="0"/>
              <w:rPr>
                <w:sz w:val="24"/>
                <w:szCs w:val="24"/>
                <w:color w:val="auto"/>
              </w:rPr>
            </w:pPr>
          </w:p>
        </w:tc>
      </w:tr>
      <w:tr>
        <w:trPr>
          <w:trHeight w:val="202"/>
        </w:trPr>
        <w:tc>
          <w:tcPr>
            <w:tcW w:w="3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Brad Wolfe</w:t>
            </w:r>
          </w:p>
        </w:tc>
        <w:tc>
          <w:tcPr>
            <w:tcW w:w="1700" w:type="dxa"/>
            <w:vAlign w:val="bottom"/>
          </w:tcPr>
          <w:p>
            <w:pPr>
              <w:spacing w:after="0"/>
              <w:rPr>
                <w:sz w:val="17"/>
                <w:szCs w:val="17"/>
                <w:color w:val="auto"/>
              </w:rPr>
            </w:pPr>
          </w:p>
        </w:tc>
      </w:tr>
      <w:tr>
        <w:trPr>
          <w:trHeight w:val="230"/>
        </w:trPr>
        <w:tc>
          <w:tcPr>
            <w:tcW w:w="3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569"/>
        </w:trPr>
        <w:tc>
          <w:tcPr>
            <w:tcW w:w="3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480" w:type="dxa"/>
            <w:vAlign w:val="bottom"/>
            <w:gridSpan w:val="2"/>
          </w:tcPr>
          <w:p>
            <w:pPr>
              <w:jc w:val="right"/>
              <w:ind w:right="3850"/>
              <w:spacing w:after="0"/>
              <w:rPr>
                <w:sz w:val="20"/>
                <w:szCs w:val="20"/>
                <w:color w:val="auto"/>
              </w:rPr>
            </w:pPr>
            <w:r>
              <w:rPr>
                <w:rFonts w:ascii="Arial" w:cs="Arial" w:eastAsia="Arial" w:hAnsi="Arial"/>
                <w:sz w:val="14"/>
                <w:szCs w:val="14"/>
                <w:color w:val="auto"/>
              </w:rPr>
              <w:t>26</w:t>
            </w:r>
          </w:p>
        </w:tc>
        <w:tc>
          <w:tcPr>
            <w:tcW w:w="1700" w:type="dxa"/>
            <w:vAlign w:val="bottom"/>
          </w:tcPr>
          <w:p>
            <w:pPr>
              <w:spacing w:after="0"/>
              <w:rPr>
                <w:sz w:val="24"/>
                <w:szCs w:val="24"/>
                <w:color w:val="auto"/>
              </w:rPr>
            </w:pPr>
          </w:p>
        </w:tc>
      </w:tr>
      <w:tr>
        <w:trPr>
          <w:trHeight w:val="46"/>
        </w:trPr>
        <w:tc>
          <w:tcPr>
            <w:tcW w:w="30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3"/>
          </w:tcPr>
          <w:p>
            <w:pPr>
              <w:ind w:left="272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96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3"/>
          </w:tcPr>
          <w:p>
            <w:pPr>
              <w:ind w:left="402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8"/>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September 30, 2016,</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7"/>
              </w:rPr>
              <w:t>formatted in XBRL (Extensible Business Reporting Language): (1) the Condensed Consolidated Balance Sheets, (2) the</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1"/>
              </w:rPr>
              <w:t>Condensed Consolidated Statements of Comprehensive Loss, (3) the Condensed Consolidated Statements of Cash Flows, and</w:t>
            </w: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(4) Notes to Condensed Consolidated Financial Statements.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5" w:lineRule="exact"/>
        <w:rPr>
          <w:sz w:val="20"/>
          <w:szCs w:val="20"/>
          <w:color w:val="auto"/>
        </w:rPr>
      </w:pPr>
    </w:p>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656"/>
        <w:spacing w:after="0" w:line="342" w:lineRule="auto"/>
        <w:tabs>
          <w:tab w:leader="none" w:pos="831"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sz w:val="20"/>
          <w:szCs w:val="20"/>
          <w:color w:val="auto"/>
        </w:rPr>
      </w:pPr>
    </w:p>
    <w:p>
      <w:pPr>
        <w:jc w:val="both"/>
        <w:ind w:firstLine="656"/>
        <w:spacing w:after="0" w:line="264" w:lineRule="auto"/>
        <w:tabs>
          <w:tab w:leader="none" w:pos="908"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0"/>
          <w:numId w:val="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2016) that has materially affected, or is reasonably likely to materially affect, the Company’s internal control over financial reporting; and</w:t>
      </w:r>
    </w:p>
    <w:p>
      <w:pPr>
        <w:spacing w:after="0" w:line="181" w:lineRule="exact"/>
        <w:rPr>
          <w:sz w:val="20"/>
          <w:szCs w:val="20"/>
          <w:color w:val="auto"/>
        </w:rPr>
      </w:pPr>
    </w:p>
    <w:p>
      <w:pPr>
        <w:ind w:firstLine="656"/>
        <w:spacing w:after="0" w:line="277" w:lineRule="auto"/>
        <w:tabs>
          <w:tab w:leader="none" w:pos="8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sz w:val="20"/>
          <w:szCs w:val="20"/>
          <w:color w:val="auto"/>
        </w:rPr>
      </w:pPr>
    </w:p>
    <w:p>
      <w:pPr>
        <w:ind w:firstLine="656"/>
        <w:spacing w:after="0" w:line="277" w:lineRule="auto"/>
        <w:tabs>
          <w:tab w:leader="none" w:pos="909"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980" w:val="left"/>
          <w:tab w:leader="none" w:pos="452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18097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Brad Wolfe, certify that:</w:t>
      </w:r>
    </w:p>
    <w:p>
      <w:pPr>
        <w:spacing w:after="0" w:line="225" w:lineRule="exact"/>
        <w:rPr>
          <w:sz w:val="20"/>
          <w:szCs w:val="20"/>
          <w:color w:val="auto"/>
        </w:rPr>
      </w:pPr>
    </w:p>
    <w:p>
      <w:pPr>
        <w:ind w:left="840" w:hanging="18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656"/>
        <w:spacing w:after="0" w:line="342" w:lineRule="auto"/>
        <w:tabs>
          <w:tab w:leader="none" w:pos="831"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sz w:val="20"/>
          <w:szCs w:val="20"/>
          <w:color w:val="auto"/>
        </w:rPr>
      </w:pPr>
    </w:p>
    <w:p>
      <w:pPr>
        <w:jc w:val="both"/>
        <w:ind w:firstLine="656"/>
        <w:spacing w:after="0" w:line="264" w:lineRule="auto"/>
        <w:tabs>
          <w:tab w:leader="none" w:pos="90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0"/>
          <w:numId w:val="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2016) that has materially affected, or is reasonably likely to materially affect, the Company’s internal control over financial reporting; and</w:t>
      </w:r>
    </w:p>
    <w:p>
      <w:pPr>
        <w:spacing w:after="0" w:line="181" w:lineRule="exact"/>
        <w:rPr>
          <w:sz w:val="20"/>
          <w:szCs w:val="20"/>
          <w:color w:val="auto"/>
        </w:rPr>
      </w:pPr>
    </w:p>
    <w:p>
      <w:pPr>
        <w:ind w:firstLine="656"/>
        <w:spacing w:after="0" w:line="277" w:lineRule="auto"/>
        <w:tabs>
          <w:tab w:leader="none" w:pos="8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sz w:val="20"/>
          <w:szCs w:val="20"/>
          <w:color w:val="auto"/>
        </w:rPr>
      </w:pPr>
    </w:p>
    <w:p>
      <w:pPr>
        <w:ind w:firstLine="656"/>
        <w:spacing w:after="0" w:line="277" w:lineRule="auto"/>
        <w:tabs>
          <w:tab w:leader="none" w:pos="9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980" w:val="left"/>
          <w:tab w:leader="none" w:pos="452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19208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20875" cy="17145"/>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right="20" w:firstLine="656"/>
        <w:spacing w:after="0" w:line="277" w:lineRule="auto"/>
        <w:tabs>
          <w:tab w:leader="none" w:pos="8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2016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3980" w:val="left"/>
          <w:tab w:leader="none" w:pos="468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14605</wp:posOffset>
            </wp:positionV>
            <wp:extent cx="18097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Brad Wolfe, do hereby certify, pursuant to 18 U.S.C. Section 1350, as adopted by Section 906 of the Sarbanes-Oxley Act of 2002, that:</w:t>
      </w:r>
    </w:p>
    <w:p>
      <w:pPr>
        <w:spacing w:after="0" w:line="248" w:lineRule="exact"/>
        <w:rPr>
          <w:sz w:val="20"/>
          <w:szCs w:val="20"/>
          <w:color w:val="auto"/>
        </w:rPr>
      </w:pPr>
    </w:p>
    <w:p>
      <w:pPr>
        <w:ind w:right="20" w:firstLine="656"/>
        <w:spacing w:after="0" w:line="277" w:lineRule="auto"/>
        <w:tabs>
          <w:tab w:leader="none" w:pos="8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2016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3980" w:val="left"/>
          <w:tab w:leader="none" w:pos="468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14605</wp:posOffset>
            </wp:positionV>
            <wp:extent cx="18097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Brad Wolfe</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2019-12-29T09:46:29Z</dcterms:created>
  <dcterms:modified xsi:type="dcterms:W3CDTF">2019-12-29T09:46:29Z</dcterms:modified>
</cp:coreProperties>
</file>