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210820</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228600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00" w:right="1880" w:hanging="3777"/>
        <w:spacing w:after="0" w:line="564" w:lineRule="auto"/>
        <w:tabs>
          <w:tab w:leader="none" w:pos="38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2015</w:t>
      </w:r>
    </w:p>
    <w:p>
      <w:pPr>
        <w:spacing w:after="0" w:line="378" w:lineRule="exact"/>
        <w:rPr>
          <w:sz w:val="24"/>
          <w:szCs w:val="24"/>
          <w:color w:val="auto"/>
        </w:rPr>
      </w:pPr>
    </w:p>
    <w:p>
      <w:pPr>
        <w:ind w:left="120"/>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37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b w:val="1"/>
                <w:bCs w:val="1"/>
                <w:color w:val="auto"/>
                <w:w w:val="96"/>
              </w:rPr>
              <w:t>For the transition period from</w:t>
            </w: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r>
      <w:tr>
        <w:trPr>
          <w:trHeight w:val="439"/>
        </w:trPr>
        <w:tc>
          <w:tcPr>
            <w:tcW w:w="3300" w:type="dxa"/>
            <w:vAlign w:val="bottom"/>
            <w:gridSpan w:val="4"/>
          </w:tcPr>
          <w:p>
            <w:pPr>
              <w:ind w:left="700"/>
              <w:spacing w:after="0"/>
              <w:rPr>
                <w:sz w:val="20"/>
                <w:szCs w:val="20"/>
                <w:color w:val="auto"/>
              </w:rPr>
            </w:pPr>
            <w:r>
              <w:rPr>
                <w:rFonts w:ascii="Arial" w:cs="Arial" w:eastAsia="Arial" w:hAnsi="Arial"/>
                <w:sz w:val="18"/>
                <w:szCs w:val="18"/>
                <w:b w:val="1"/>
                <w:bCs w:val="1"/>
                <w:color w:val="auto"/>
                <w:w w:val="89"/>
              </w:rPr>
              <w:t>Commission file number: 0-20008</w:t>
            </w: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4500245</wp:posOffset>
            </wp:positionH>
            <wp:positionV relativeFrom="paragraph">
              <wp:posOffset>-299720</wp:posOffset>
            </wp:positionV>
            <wp:extent cx="400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66" w:lineRule="exact"/>
        <w:rPr>
          <w:sz w:val="24"/>
          <w:szCs w:val="24"/>
          <w:color w:val="auto"/>
        </w:rPr>
      </w:pPr>
    </w:p>
    <w:tbl>
      <w:tblPr>
        <w:tblLayout w:type="fixed"/>
        <w:tblInd w:w="980" w:type="dxa"/>
        <w:tblCellMar>
          <w:top w:w="0" w:type="dxa"/>
          <w:left w:w="0" w:type="dxa"/>
          <w:bottom w:w="0" w:type="dxa"/>
          <w:right w:w="0" w:type="dxa"/>
        </w:tblCellMar>
      </w:tblPr>
      <w:tr>
        <w:trPr>
          <w:trHeight w:val="375"/>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32"/>
                <w:szCs w:val="32"/>
                <w:b w:val="1"/>
                <w:bCs w:val="1"/>
                <w:color w:val="auto"/>
                <w:w w:val="99"/>
              </w:rPr>
              <w:t>ASURE SOFTWARE, INC.</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20" w:type="dxa"/>
            <w:vAlign w:val="bottom"/>
            <w:gridSpan w:val="5"/>
          </w:tcPr>
          <w:p>
            <w:pPr>
              <w:jc w:val="center"/>
              <w:ind w:left="390"/>
              <w:spacing w:after="0"/>
              <w:rPr>
                <w:sz w:val="20"/>
                <w:szCs w:val="20"/>
                <w:color w:val="auto"/>
              </w:rPr>
            </w:pPr>
            <w:r>
              <w:rPr>
                <w:rFonts w:ascii="Arial" w:cs="Arial" w:eastAsia="Arial" w:hAnsi="Arial"/>
                <w:sz w:val="18"/>
                <w:szCs w:val="18"/>
                <w:color w:val="auto"/>
                <w:w w:val="91"/>
              </w:rPr>
              <w:t>(Exact Name of Registrant as Specified in its Charter)</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92"/>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gridSpan w:val="7"/>
          </w:tcPr>
          <w:p>
            <w:pPr>
              <w:jc w:val="center"/>
              <w:ind w:right="5180"/>
              <w:spacing w:after="0"/>
              <w:rPr>
                <w:sz w:val="20"/>
                <w:szCs w:val="20"/>
                <w:color w:val="auto"/>
              </w:rPr>
            </w:pPr>
            <w:r>
              <w:rPr>
                <w:rFonts w:ascii="Arial" w:cs="Arial" w:eastAsia="Arial" w:hAnsi="Arial"/>
                <w:sz w:val="18"/>
                <w:szCs w:val="18"/>
                <w:b w:val="1"/>
                <w:bCs w:val="1"/>
                <w:color w:val="auto"/>
                <w:w w:val="91"/>
              </w:rPr>
              <w:t>Delaware</w:t>
            </w:r>
          </w:p>
        </w:tc>
        <w:tc>
          <w:tcPr>
            <w:tcW w:w="16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74-2415696</w:t>
            </w: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7000" w:type="dxa"/>
            <w:vAlign w:val="bottom"/>
            <w:gridSpan w:val="9"/>
          </w:tcPr>
          <w:p>
            <w:pPr>
              <w:jc w:val="center"/>
              <w:ind w:right="4080"/>
              <w:spacing w:after="0"/>
              <w:rPr>
                <w:sz w:val="20"/>
                <w:szCs w:val="20"/>
                <w:color w:val="auto"/>
              </w:rPr>
            </w:pPr>
            <w:r>
              <w:rPr>
                <w:rFonts w:ascii="Arial" w:cs="Arial" w:eastAsia="Arial" w:hAnsi="Arial"/>
                <w:sz w:val="18"/>
                <w:szCs w:val="18"/>
                <w:color w:val="auto"/>
                <w:w w:val="92"/>
              </w:rPr>
              <w:t>(State or other jurisdiction of</w:t>
            </w:r>
          </w:p>
        </w:tc>
        <w:tc>
          <w:tcPr>
            <w:tcW w:w="1600" w:type="dxa"/>
            <w:vAlign w:val="bottom"/>
            <w:gridSpan w:val="5"/>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7000" w:type="dxa"/>
            <w:vAlign w:val="bottom"/>
            <w:gridSpan w:val="9"/>
          </w:tcPr>
          <w:p>
            <w:pPr>
              <w:jc w:val="center"/>
              <w:ind w:right="4080"/>
              <w:spacing w:after="0"/>
              <w:rPr>
                <w:sz w:val="20"/>
                <w:szCs w:val="20"/>
                <w:color w:val="auto"/>
              </w:rPr>
            </w:pPr>
            <w:r>
              <w:rPr>
                <w:rFonts w:ascii="Arial" w:cs="Arial" w:eastAsia="Arial" w:hAnsi="Arial"/>
                <w:sz w:val="18"/>
                <w:szCs w:val="18"/>
                <w:color w:val="auto"/>
                <w:w w:val="92"/>
              </w:rPr>
              <w:t>incorporation or organization)</w:t>
            </w:r>
          </w:p>
        </w:tc>
        <w:tc>
          <w:tcPr>
            <w:tcW w:w="1600" w:type="dxa"/>
            <w:vAlign w:val="bottom"/>
            <w:gridSpan w:val="5"/>
          </w:tcPr>
          <w:p>
            <w:pPr>
              <w:jc w:val="center"/>
              <w:ind w:left="190"/>
              <w:spacing w:after="0"/>
              <w:rPr>
                <w:sz w:val="20"/>
                <w:szCs w:val="20"/>
                <w:color w:val="auto"/>
              </w:rPr>
            </w:pPr>
            <w:r>
              <w:rPr>
                <w:rFonts w:ascii="Arial" w:cs="Arial" w:eastAsia="Arial" w:hAnsi="Arial"/>
                <w:sz w:val="18"/>
                <w:szCs w:val="18"/>
                <w:color w:val="auto"/>
                <w:w w:val="94"/>
              </w:rPr>
              <w:t>Identification No.)</w:t>
            </w:r>
          </w:p>
        </w:tc>
      </w:tr>
      <w:tr>
        <w:trPr>
          <w:trHeight w:val="414"/>
        </w:trPr>
        <w:tc>
          <w:tcPr>
            <w:tcW w:w="7000" w:type="dxa"/>
            <w:vAlign w:val="bottom"/>
            <w:gridSpan w:val="9"/>
          </w:tcPr>
          <w:p>
            <w:pPr>
              <w:jc w:val="center"/>
              <w:ind w:right="4080"/>
              <w:spacing w:after="0"/>
              <w:rPr>
                <w:sz w:val="20"/>
                <w:szCs w:val="20"/>
                <w:color w:val="auto"/>
              </w:rPr>
            </w:pPr>
            <w:r>
              <w:rPr>
                <w:rFonts w:ascii="Arial" w:cs="Arial" w:eastAsia="Arial" w:hAnsi="Arial"/>
                <w:sz w:val="18"/>
                <w:szCs w:val="18"/>
                <w:b w:val="1"/>
                <w:bCs w:val="1"/>
                <w:color w:val="auto"/>
                <w:w w:val="90"/>
              </w:rPr>
              <w:t>110 Wild Basin Road, Suite 100</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6060" w:type="dxa"/>
            <w:vAlign w:val="bottom"/>
            <w:gridSpan w:val="8"/>
          </w:tcPr>
          <w:p>
            <w:pPr>
              <w:jc w:val="center"/>
              <w:ind w:right="5020"/>
              <w:spacing w:after="0" w:line="194" w:lineRule="exact"/>
              <w:rPr>
                <w:sz w:val="20"/>
                <w:szCs w:val="20"/>
                <w:color w:val="auto"/>
              </w:rPr>
            </w:pPr>
            <w:r>
              <w:rPr>
                <w:rFonts w:ascii="Arial" w:cs="Arial" w:eastAsia="Arial" w:hAnsi="Arial"/>
                <w:sz w:val="18"/>
                <w:szCs w:val="18"/>
                <w:b w:val="1"/>
                <w:bCs w:val="1"/>
                <w:color w:val="auto"/>
                <w:w w:val="88"/>
              </w:rPr>
              <w:t>Austin, Texas</w:t>
            </w:r>
          </w:p>
        </w:tc>
        <w:tc>
          <w:tcPr>
            <w:tcW w:w="138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78746</w:t>
            </w:r>
          </w:p>
        </w:tc>
        <w:tc>
          <w:tcPr>
            <w:tcW w:w="22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7000" w:type="dxa"/>
            <w:vAlign w:val="bottom"/>
            <w:gridSpan w:val="9"/>
          </w:tcPr>
          <w:p>
            <w:pPr>
              <w:jc w:val="center"/>
              <w:ind w:right="4060"/>
              <w:spacing w:after="0"/>
              <w:rPr>
                <w:sz w:val="20"/>
                <w:szCs w:val="20"/>
                <w:color w:val="auto"/>
              </w:rPr>
            </w:pPr>
            <w:r>
              <w:rPr>
                <w:rFonts w:ascii="Arial" w:cs="Arial" w:eastAsia="Arial" w:hAnsi="Arial"/>
                <w:sz w:val="18"/>
                <w:szCs w:val="18"/>
                <w:color w:val="auto"/>
                <w:w w:val="92"/>
              </w:rPr>
              <w:t>(Address of Principal Executive Offices)</w:t>
            </w:r>
          </w:p>
        </w:tc>
        <w:tc>
          <w:tcPr>
            <w:tcW w:w="500" w:type="dxa"/>
            <w:vAlign w:val="bottom"/>
          </w:tcPr>
          <w:p>
            <w:pPr>
              <w:spacing w:after="0"/>
              <w:rPr>
                <w:sz w:val="20"/>
                <w:szCs w:val="20"/>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color w:val="auto"/>
                <w:w w:val="94"/>
              </w:rPr>
              <w:t>(Zip Code)</w:t>
            </w:r>
          </w:p>
        </w:tc>
      </w:tr>
      <w:tr>
        <w:trPr>
          <w:trHeight w:val="392"/>
        </w:trPr>
        <w:tc>
          <w:tcPr>
            <w:tcW w:w="5300" w:type="dxa"/>
            <w:vAlign w:val="bottom"/>
            <w:gridSpan w:val="7"/>
          </w:tcPr>
          <w:p>
            <w:pPr>
              <w:jc w:val="center"/>
              <w:ind w:left="4090"/>
              <w:spacing w:after="0"/>
              <w:rPr>
                <w:sz w:val="20"/>
                <w:szCs w:val="20"/>
                <w:color w:val="auto"/>
              </w:rPr>
            </w:pPr>
            <w:r>
              <w:rPr>
                <w:rFonts w:ascii="Arial" w:cs="Arial" w:eastAsia="Arial" w:hAnsi="Arial"/>
                <w:sz w:val="18"/>
                <w:szCs w:val="18"/>
                <w:b w:val="1"/>
                <w:bCs w:val="1"/>
                <w:color w:val="auto"/>
                <w:w w:val="90"/>
              </w:rPr>
              <w:t>(512) 437-2700</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20" w:type="dxa"/>
            <w:vAlign w:val="bottom"/>
            <w:gridSpan w:val="5"/>
          </w:tcPr>
          <w:p>
            <w:pPr>
              <w:jc w:val="center"/>
              <w:ind w:left="390"/>
              <w:spacing w:after="0"/>
              <w:rPr>
                <w:sz w:val="20"/>
                <w:szCs w:val="20"/>
                <w:color w:val="auto"/>
              </w:rPr>
            </w:pPr>
            <w:r>
              <w:rPr>
                <w:rFonts w:ascii="Arial" w:cs="Arial" w:eastAsia="Arial" w:hAnsi="Arial"/>
                <w:sz w:val="18"/>
                <w:szCs w:val="18"/>
                <w:color w:val="auto"/>
                <w:w w:val="90"/>
              </w:rPr>
              <w:t>(Registrant’s Telephone Number, including Area Code)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297" w:right="239" w:bottom="1440" w:gutter="0" w:footer="0" w:header="0"/>
        </w:sectPr>
      </w:pPr>
    </w:p>
    <w:p>
      <w:pPr>
        <w:spacing w:after="0" w:line="197" w:lineRule="exact"/>
        <w:rPr>
          <w:sz w:val="24"/>
          <w:szCs w:val="24"/>
          <w:color w:val="auto"/>
        </w:rPr>
      </w:pPr>
    </w:p>
    <w:p>
      <w:pPr>
        <w:ind w:left="2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2380" w:space="720"/>
            <w:col w:w="1660" w:space="720"/>
            <w:col w:w="2140" w:space="720"/>
            <w:col w:w="3080"/>
          </w:cols>
          <w:pgMar w:left="240" w:top="297"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3">
            <w:col w:w="8180" w:space="180"/>
            <w:col w:w="440" w:space="180"/>
            <w:col w:w="2440"/>
          </w:cols>
          <w:pgMar w:left="240" w:top="297"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May 12, 2015, the registrant had outstanding 6,059,296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360" w:type="dxa"/>
            <w:vAlign w:val="bottom"/>
            <w:gridSpan w:val="17"/>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60" w:type="dxa"/>
            <w:vAlign w:val="bottom"/>
          </w:tcPr>
          <w:p>
            <w:pPr>
              <w:spacing w:after="0"/>
              <w:rPr>
                <w:sz w:val="14"/>
                <w:szCs w:val="14"/>
                <w:color w:val="auto"/>
              </w:rPr>
            </w:pPr>
          </w:p>
        </w:tc>
      </w:tr>
      <w:tr>
        <w:trPr>
          <w:trHeight w:val="426"/>
        </w:trPr>
        <w:tc>
          <w:tcPr>
            <w:tcW w:w="8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80" w:type="dxa"/>
            <w:vAlign w:val="bottom"/>
            <w:gridSpan w:val="8"/>
          </w:tcPr>
          <w:p>
            <w:pPr>
              <w:jc w:val="center"/>
              <w:ind w:right="230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r>
      <w:tr>
        <w:trPr>
          <w:trHeight w:val="414"/>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241"/>
        </w:trPr>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80" w:type="dxa"/>
            <w:vAlign w:val="bottom"/>
            <w:gridSpan w:val="8"/>
          </w:tcPr>
          <w:p>
            <w:pPr>
              <w:ind w:left="680"/>
              <w:spacing w:after="0"/>
              <w:rPr>
                <w:sz w:val="20"/>
                <w:szCs w:val="20"/>
                <w:color w:val="auto"/>
              </w:rPr>
            </w:pPr>
            <w:r>
              <w:rPr>
                <w:rFonts w:ascii="Arial" w:cs="Arial" w:eastAsia="Arial" w:hAnsi="Arial"/>
                <w:sz w:val="18"/>
                <w:szCs w:val="18"/>
                <w:b w:val="1"/>
                <w:bCs w:val="1"/>
                <w:color w:val="auto"/>
              </w:rPr>
              <w:t>PART I - FINANCIAL INFORMATION</w:t>
            </w:r>
          </w:p>
        </w:tc>
        <w:tc>
          <w:tcPr>
            <w:tcW w:w="1060" w:type="dxa"/>
            <w:vAlign w:val="bottom"/>
          </w:tcPr>
          <w:p>
            <w:pPr>
              <w:spacing w:after="0"/>
              <w:rPr>
                <w:sz w:val="18"/>
                <w:szCs w:val="18"/>
                <w:color w:val="auto"/>
              </w:rPr>
            </w:pPr>
          </w:p>
        </w:tc>
      </w:tr>
      <w:tr>
        <w:trPr>
          <w:trHeight w:val="392"/>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54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1060" w:type="dxa"/>
            <w:vAlign w:val="bottom"/>
          </w:tcPr>
          <w:p>
            <w:pPr>
              <w:spacing w:after="0"/>
              <w:rPr>
                <w:sz w:val="24"/>
                <w:szCs w:val="24"/>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2015 and December 31, 2014</w:t>
              </w:r>
            </w:hyperlink>
          </w:p>
        </w:tc>
        <w:tc>
          <w:tcPr>
            <w:tcW w:w="2960" w:type="dxa"/>
            <w:vAlign w:val="bottom"/>
            <w:gridSpan w:val="4"/>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Loss for the Three Months ended March 31, 2015 and 2014</w:t>
              </w:r>
            </w:hyperlink>
          </w:p>
        </w:tc>
        <w:tc>
          <w:tcPr>
            <w:tcW w:w="9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Three Months Ended March 31, 2015 and 2014</w:t>
              </w:r>
            </w:hyperlink>
          </w:p>
        </w:tc>
        <w:tc>
          <w:tcPr>
            <w:tcW w:w="1540" w:type="dxa"/>
            <w:vAlign w:val="bottom"/>
            <w:gridSpan w:val="2"/>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9540" w:type="dxa"/>
            <w:vAlign w:val="bottom"/>
            <w:gridSpan w:val="16"/>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Management’s Discussion and Analysis of Financial Condition and Results of Operations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46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w w:val="90"/>
              </w:rPr>
            </w:pPr>
            <w:hyperlink w:anchor="page20">
              <w:r>
                <w:rPr>
                  <w:rFonts w:ascii="Arial" w:cs="Arial" w:eastAsia="Arial" w:hAnsi="Arial"/>
                  <w:sz w:val="18"/>
                  <w:szCs w:val="18"/>
                  <w:b w:val="1"/>
                  <w:bCs w:val="1"/>
                  <w:color w:val="0000EE"/>
                  <w:w w:val="90"/>
                </w:rPr>
                <w:t>Quantitative and Qualitative Disclosures About Market Risk</w:t>
              </w:r>
            </w:hyperlink>
          </w:p>
        </w:tc>
        <w:tc>
          <w:tcPr>
            <w:tcW w:w="2160" w:type="dxa"/>
            <w:vAlign w:val="bottom"/>
            <w:tcBorders>
              <w:top w:val="single" w:sz="8" w:color="0000EE"/>
            </w:tcBorders>
            <w:gridSpan w:val="2"/>
          </w:tcPr>
          <w:p>
            <w:pPr>
              <w:spacing w:after="0"/>
              <w:rPr>
                <w:sz w:val="17"/>
                <w:szCs w:val="17"/>
                <w:color w:val="auto"/>
              </w:rPr>
            </w:pPr>
          </w:p>
        </w:tc>
        <w:tc>
          <w:tcPr>
            <w:tcW w:w="2740" w:type="dxa"/>
            <w:vAlign w:val="bottom"/>
            <w:gridSpan w:val="3"/>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4.</w:t>
            </w:r>
          </w:p>
        </w:tc>
        <w:tc>
          <w:tcPr>
            <w:tcW w:w="9540" w:type="dxa"/>
            <w:vAlign w:val="bottom"/>
            <w:gridSpan w:val="16"/>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Controls and Procedures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453"/>
        </w:trPr>
        <w:tc>
          <w:tcPr>
            <w:tcW w:w="8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80" w:type="dxa"/>
            <w:vAlign w:val="bottom"/>
            <w:gridSpan w:val="8"/>
          </w:tcPr>
          <w:p>
            <w:pPr>
              <w:jc w:val="center"/>
              <w:ind w:right="2320"/>
              <w:spacing w:after="0"/>
              <w:rPr>
                <w:sz w:val="20"/>
                <w:szCs w:val="20"/>
                <w:color w:val="auto"/>
              </w:rPr>
            </w:pPr>
            <w:r>
              <w:rPr>
                <w:rFonts w:ascii="Arial" w:cs="Arial" w:eastAsia="Arial" w:hAnsi="Arial"/>
                <w:sz w:val="18"/>
                <w:szCs w:val="18"/>
                <w:b w:val="1"/>
                <w:bCs w:val="1"/>
                <w:color w:val="auto"/>
              </w:rPr>
              <w:t>PART II - OTHER INFORMATION</w:t>
            </w:r>
          </w:p>
        </w:tc>
        <w:tc>
          <w:tcPr>
            <w:tcW w:w="1060" w:type="dxa"/>
            <w:vAlign w:val="bottom"/>
          </w:tcPr>
          <w:p>
            <w:pPr>
              <w:spacing w:after="0"/>
              <w:rPr>
                <w:sz w:val="24"/>
                <w:szCs w:val="24"/>
                <w:color w:val="auto"/>
              </w:rPr>
            </w:pPr>
          </w:p>
        </w:tc>
      </w:tr>
      <w:tr>
        <w:trPr>
          <w:trHeight w:val="392"/>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bottom w:val="single" w:sz="8" w:color="0000EE"/>
            </w:tcBorders>
            <w:gridSpan w:val="5"/>
          </w:tcPr>
          <w:p>
            <w:pPr>
              <w:spacing w:after="0"/>
              <w:rPr>
                <w:rFonts w:ascii="Arial" w:cs="Arial" w:eastAsia="Arial" w:hAnsi="Arial"/>
                <w:sz w:val="18"/>
                <w:szCs w:val="18"/>
                <w:b w:val="1"/>
                <w:bCs w:val="1"/>
                <w:color w:val="0000EE"/>
                <w:w w:val="84"/>
              </w:rPr>
            </w:pPr>
            <w:hyperlink w:anchor="page21">
              <w:r>
                <w:rPr>
                  <w:rFonts w:ascii="Arial" w:cs="Arial" w:eastAsia="Arial" w:hAnsi="Arial"/>
                  <w:sz w:val="18"/>
                  <w:szCs w:val="18"/>
                  <w:b w:val="1"/>
                  <w:bCs w:val="1"/>
                  <w:color w:val="0000EE"/>
                  <w:w w:val="84"/>
                </w:rPr>
                <w:t>Legal Proceedings</w:t>
              </w:r>
            </w:hyperlink>
          </w:p>
        </w:tc>
        <w:tc>
          <w:tcPr>
            <w:tcW w:w="8160" w:type="dxa"/>
            <w:vAlign w:val="bottom"/>
            <w:gridSpan w:val="11"/>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1A.</w:t>
            </w:r>
          </w:p>
        </w:tc>
        <w:tc>
          <w:tcPr>
            <w:tcW w:w="9540" w:type="dxa"/>
            <w:vAlign w:val="bottom"/>
            <w:gridSpan w:val="16"/>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Risk Factors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9540" w:type="dxa"/>
            <w:vAlign w:val="bottom"/>
            <w:gridSpan w:val="16"/>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Unregistered Sales of Equity Securities and Use of Proceeds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4540" w:type="dxa"/>
            <w:vAlign w:val="bottom"/>
            <w:tcBorders>
              <w:top w:val="single" w:sz="8" w:color="0000EE"/>
            </w:tcBorders>
            <w:gridSpan w:val="10"/>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Defaults upon Senior Securities</w:t>
              </w:r>
            </w:hyperlink>
          </w:p>
        </w:tc>
        <w:tc>
          <w:tcPr>
            <w:tcW w:w="5000" w:type="dxa"/>
            <w:vAlign w:val="bottom"/>
            <w:gridSpan w:val="6"/>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6.</w:t>
            </w:r>
          </w:p>
        </w:tc>
        <w:tc>
          <w:tcPr>
            <w:tcW w:w="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5"/>
              </w:rPr>
            </w:pPr>
            <w:hyperlink w:anchor="page21">
              <w:r>
                <w:rPr>
                  <w:rFonts w:ascii="Arial" w:cs="Arial" w:eastAsia="Arial" w:hAnsi="Arial"/>
                  <w:sz w:val="18"/>
                  <w:szCs w:val="18"/>
                  <w:b w:val="1"/>
                  <w:bCs w:val="1"/>
                  <w:color w:val="0000EE"/>
                  <w:w w:val="85"/>
                </w:rPr>
                <w:t>Exhibits</w:t>
              </w:r>
            </w:hyperlink>
          </w:p>
        </w:tc>
        <w:tc>
          <w:tcPr>
            <w:tcW w:w="1760" w:type="dxa"/>
            <w:vAlign w:val="bottom"/>
            <w:tcBorders>
              <w:top w:val="single" w:sz="8" w:color="0000EE"/>
            </w:tcBorders>
            <w:gridSpan w:val="4"/>
          </w:tcPr>
          <w:p>
            <w:pPr>
              <w:spacing w:after="0"/>
              <w:rPr>
                <w:sz w:val="17"/>
                <w:szCs w:val="17"/>
                <w:color w:val="auto"/>
              </w:rPr>
            </w:pPr>
          </w:p>
        </w:tc>
        <w:tc>
          <w:tcPr>
            <w:tcW w:w="7160" w:type="dxa"/>
            <w:vAlign w:val="bottom"/>
            <w:gridSpan w:val="9"/>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412"/>
        </w:trPr>
        <w:tc>
          <w:tcPr>
            <w:tcW w:w="10360" w:type="dxa"/>
            <w:vAlign w:val="bottom"/>
            <w:gridSpan w:val="17"/>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Signatures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652"/>
        </w:trPr>
        <w:tc>
          <w:tcPr>
            <w:tcW w:w="820" w:type="dxa"/>
            <w:vAlign w:val="bottom"/>
            <w:tcBorders>
              <w:top w:val="single" w:sz="8" w:color="0000EE"/>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3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7340" w:type="dxa"/>
            <w:vAlign w:val="bottom"/>
          </w:tcPr>
          <w:p>
            <w:pPr>
              <w:jc w:val="center"/>
              <w:ind w:left="197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7340" w:type="dxa"/>
            <w:vAlign w:val="bottom"/>
          </w:tcPr>
          <w:p>
            <w:pPr>
              <w:jc w:val="center"/>
              <w:ind w:left="1950"/>
              <w:spacing w:after="0"/>
              <w:rPr>
                <w:sz w:val="20"/>
                <w:szCs w:val="20"/>
                <w:color w:val="auto"/>
              </w:rPr>
            </w:pPr>
            <w:r>
              <w:rPr>
                <w:rFonts w:ascii="Arial" w:cs="Arial" w:eastAsia="Arial" w:hAnsi="Arial"/>
                <w:sz w:val="18"/>
                <w:szCs w:val="18"/>
                <w:b w:val="1"/>
                <w:bCs w:val="1"/>
                <w:color w:val="auto"/>
                <w:w w:val="98"/>
              </w:rPr>
              <w:t>ASURE SOFTWARE, INC.</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34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340" w:type="dxa"/>
            <w:vAlign w:val="bottom"/>
          </w:tcPr>
          <w:p>
            <w:pPr>
              <w:jc w:val="center"/>
              <w:ind w:left="1950"/>
              <w:spacing w:after="0"/>
              <w:rPr>
                <w:sz w:val="20"/>
                <w:szCs w:val="20"/>
                <w:color w:val="auto"/>
              </w:rPr>
            </w:pPr>
            <w:r>
              <w:rPr>
                <w:rFonts w:ascii="Arial" w:cs="Arial" w:eastAsia="Arial" w:hAnsi="Arial"/>
                <w:sz w:val="18"/>
                <w:szCs w:val="18"/>
                <w:color w:val="auto"/>
                <w:w w:val="91"/>
              </w:rPr>
              <w:t>(Amounts in thousands)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340" w:type="dxa"/>
            <w:vAlign w:val="bottom"/>
          </w:tcPr>
          <w:p>
            <w:pPr>
              <w:jc w:val="center"/>
              <w:ind w:left="2010"/>
              <w:spacing w:after="0"/>
              <w:rPr>
                <w:sz w:val="20"/>
                <w:szCs w:val="20"/>
                <w:color w:val="auto"/>
              </w:rPr>
            </w:pPr>
            <w:r>
              <w:rPr>
                <w:rFonts w:ascii="Arial" w:cs="Arial" w:eastAsia="Arial" w:hAnsi="Arial"/>
                <w:sz w:val="18"/>
                <w:szCs w:val="18"/>
                <w:color w:val="auto"/>
                <w:w w:val="93"/>
              </w:rPr>
              <w:t>(Unaudited)</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0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02"/>
        </w:trPr>
        <w:tc>
          <w:tcPr>
            <w:tcW w:w="8360" w:type="dxa"/>
            <w:vAlign w:val="bottom"/>
            <w:gridSpan w:val="2"/>
          </w:tcPr>
          <w:p>
            <w:pPr>
              <w:spacing w:after="0" w:line="201" w:lineRule="exact"/>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r>
        <w:trPr>
          <w:trHeight w:val="202"/>
        </w:trPr>
        <w:tc>
          <w:tcPr>
            <w:tcW w:w="83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Accounts receivable, net of allowance for doubtful accounts of $117 and $120 at</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March 31, 2015 and December 31, 2014, respectively</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4,879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5,295</w:t>
            </w: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2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9"/>
                <w:szCs w:val="19"/>
                <w:color w:val="auto"/>
              </w:rPr>
            </w:pPr>
          </w:p>
        </w:tc>
      </w:tr>
      <w:tr>
        <w:trPr>
          <w:trHeight w:val="216"/>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7,088</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1,539</w:t>
            </w: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8,322</w:t>
            </w:r>
          </w:p>
        </w:tc>
      </w:tr>
      <w:tr>
        <w:trPr>
          <w:trHeight w:val="223"/>
        </w:trPr>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34,148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34,468</w:t>
            </w:r>
          </w:p>
        </w:tc>
      </w:tr>
      <w:tr>
        <w:trPr>
          <w:trHeight w:val="21"/>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notes payable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1,533</w:t>
            </w: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r>
      <w:tr>
        <w:trPr>
          <w:trHeight w:val="223"/>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14,550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14,402</w:t>
            </w: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14,381</w:t>
            </w:r>
          </w:p>
        </w:tc>
      </w:tr>
      <w:tr>
        <w:trPr>
          <w:trHeight w:val="22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r>
      <w:tr>
        <w:trPr>
          <w:trHeight w:val="216"/>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long-term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15,595</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Common stock, $.01 par value; 11,000 shares authorized; 6,443 and 6,434 shares issued,</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6,059 and 6,050 shares outstanding at March 31, 2015 and December 31, 2014, respectively</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384 shares at March 31, 2015 and December 31, 2014</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(5,017)</w:t>
            </w: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278,735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278,656</w:t>
            </w: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(269,629)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(269,146)</w:t>
            </w:r>
          </w:p>
        </w:tc>
      </w:tr>
      <w:tr>
        <w:trPr>
          <w:trHeight w:val="22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23"/>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34,148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34,468</w:t>
            </w:r>
          </w:p>
        </w:tc>
      </w:tr>
      <w:tr>
        <w:trPr>
          <w:trHeight w:val="21"/>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rPr>
              <w:t>FOR THE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Cost of sales</w:t>
            </w: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Gross margin</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4,680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(loss)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Loss on lease termination</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settlement of note payable and litigation</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Loss on debt refinancing</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loss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Interest expense and other</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(282)</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 amortization of original issue discount (OID)</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Total other loss, net</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(411)</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Loss from operations before income taxes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(423)</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(483)</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Foreign currency gain (loss)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2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Basic</w:t>
            </w:r>
          </w:p>
        </w:tc>
        <w:tc>
          <w:tcPr>
            <w:tcW w:w="2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basic and diluted shares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Basic</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6,055,000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5,971,000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5,971,000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rPr>
              <w:t>FOR THE</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370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ind w:right="699"/>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785</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8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Amortization of original issue discount (OID)</w:t>
            </w:r>
          </w:p>
        </w:tc>
        <w:tc>
          <w:tcPr>
            <w:tcW w:w="8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settlement of note payable and litigation</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Loss on debt refinancing</w:t>
            </w:r>
          </w:p>
        </w:tc>
        <w:tc>
          <w:tcPr>
            <w:tcW w:w="8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8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401</w:t>
            </w:r>
          </w:p>
        </w:tc>
        <w:tc>
          <w:tcPr>
            <w:tcW w:w="3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86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(195)</w:t>
            </w:r>
          </w:p>
        </w:tc>
        <w:tc>
          <w:tcPr>
            <w:tcW w:w="3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648</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86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(512)</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8"/>
                <w:szCs w:val="18"/>
                <w:b w:val="1"/>
                <w:bCs w:val="1"/>
                <w:color w:val="auto"/>
              </w:rPr>
              <w:t>Net cash provided by operating activities</w:t>
            </w:r>
          </w:p>
        </w:tc>
        <w:tc>
          <w:tcPr>
            <w:tcW w:w="8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546</w:t>
            </w:r>
          </w:p>
        </w:tc>
        <w:tc>
          <w:tcPr>
            <w:tcW w:w="3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(658)</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Disposals of property and equipment</w:t>
            </w:r>
          </w:p>
        </w:tc>
        <w:tc>
          <w:tcPr>
            <w:tcW w:w="8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Collection of note receivable</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(632)</w:t>
            </w:r>
          </w:p>
        </w:tc>
        <w:tc>
          <w:tcPr>
            <w:tcW w:w="3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notes payable</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1,000</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Payments on notes payable</w:t>
            </w:r>
          </w:p>
        </w:tc>
        <w:tc>
          <w:tcPr>
            <w:tcW w:w="86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(887)</w:t>
            </w:r>
          </w:p>
        </w:tc>
        <w:tc>
          <w:tcPr>
            <w:tcW w:w="3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(16,248)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amendment of senior notes payable</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Debt financing fees</w:t>
            </w:r>
          </w:p>
        </w:tc>
        <w:tc>
          <w:tcPr>
            <w:tcW w:w="8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capital leases</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Insurance proceeds for settlement of notes payable dispute, net of expenses</w:t>
            </w:r>
          </w:p>
        </w:tc>
        <w:tc>
          <w:tcPr>
            <w:tcW w:w="8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8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29</w:t>
            </w:r>
          </w:p>
        </w:tc>
        <w:tc>
          <w:tcPr>
            <w:tcW w:w="3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foreign exchange rates</w:t>
            </w:r>
          </w:p>
        </w:tc>
        <w:tc>
          <w:tcPr>
            <w:tcW w:w="8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11</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(46)</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8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320</w:t>
            </w:r>
          </w:p>
        </w:tc>
        <w:tc>
          <w:tcPr>
            <w:tcW w:w="3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3,938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60" w:type="dxa"/>
            <w:vAlign w:val="bottom"/>
            <w:shd w:val="clear" w:color="auto" w:fill="CCEEFF"/>
          </w:tcPr>
          <w:p>
            <w:pPr>
              <w:jc w:val="right"/>
              <w:ind w:right="699"/>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274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1,672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paid for:</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860" w:type="dxa"/>
            <w:vAlign w:val="bottom"/>
            <w:shd w:val="clear" w:color="auto" w:fill="CCEEFF"/>
          </w:tcPr>
          <w:p>
            <w:pPr>
              <w:jc w:val="right"/>
              <w:ind w:right="699"/>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2840" w:right="2520" w:hanging="261"/>
        <w:spacing w:after="0" w:line="323" w:lineRule="auto"/>
        <w:rPr>
          <w:sz w:val="20"/>
          <w:szCs w:val="20"/>
          <w:color w:val="auto"/>
        </w:rPr>
      </w:pPr>
      <w:r>
        <w:rPr>
          <w:rFonts w:ascii="Arial" w:cs="Arial" w:eastAsia="Arial" w:hAnsi="Arial"/>
          <w:sz w:val="16"/>
          <w:szCs w:val="16"/>
          <w:b w:val="1"/>
          <w:bCs w:val="1"/>
          <w:color w:val="auto"/>
        </w:rPr>
        <w:t xml:space="preserve">NOTES TO THE CONDENSED CONSOLIDATED FINANCIAL STATEMENTS </w:t>
      </w:r>
      <w:r>
        <w:rPr>
          <w:rFonts w:ascii="Arial" w:cs="Arial" w:eastAsia="Arial" w:hAnsi="Arial"/>
          <w:sz w:val="16"/>
          <w:szCs w:val="16"/>
          <w:color w:val="auto"/>
        </w:rPr>
        <w:t>(Amounts in thousands, except share and per share data unless otherwise noted)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PRESENTATION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Asure Software, Inc., a Delaware corporation, is a provider of cloud-based software-as-a-service (“SaaS”) time and labor management and workspace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Warwick, Rhode Island; Framingham, Massachusetts; Traverse City, Michigan and Staines, United Kingdom.</w:t>
      </w:r>
    </w:p>
    <w:p>
      <w:pPr>
        <w:spacing w:after="0" w:line="19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prepared the accompanying unaudited condensed consolidated financial statements in accordance with the rules and regulations of the Securities and Exchange Commission and accordingly, they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our financial position as of March 31, 2015 and December 31, 2014, the results of operations for the three months ended March 31, 2015 and 2014, and the cash flows for the three months ended March 31, 2015 and 2014.</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should read these condensed consolidated financial statements in conjunction with our audited consolidated financial statements and notes thereto filed with the Securities and Exchange Commission in our annual report on Form 10-K for the fiscal year ended December 31, 2014. The results for the interim periods are not necessarily indicative of results for a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 cash deposits and highly liquid investments with an original maturity of three months or less when purchased.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March 31, 2015, Asure’s principal sources of liquidity consisted of approximately $274 of cash and cash equivalents and future cash generated from operations. We believe that we have and/or will generate sufficient cash for our short- and long-term needs, including meeting the requirements of our Term Loan, and the related debt covenant requirements. We are continuing to reduce expenses as a percentage of revenue on an annual basis and thus may utilize our cash balances in the short-term to reduce long-term costs. Based on current internal projections, we believe that we have and/or will generate sufficient cash for our operational needs, including any required debt payments, for at least the next twelve months.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Management is focused on growing our existing product offering, as well as our customer base, to increase our recurring revenues. We are also exploring additional strategic acquisitions in the near future, although we have no agreements to make any acquisition at this time. We expect to fund any future acquisitions with equity, available cash, future cash from operations, or debt from outside sources.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12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This new standard will replace most current U.S. GAAP guidance on revenue recognition and eliminate all industry-specific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We will adopt this standard effective January 1, 2017, as required. The standard can be applied either retrospectively to each period presented or as a cumulative-effect adjustment as of the date of adoption. We are evaluating the impact of adopting this new standard on our financial statements.</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April 2015, the FASB issued ASU No. 2015-03, "Interest—Imputation of Interest (Subtopic 835-30): Simplifying the Presentation of Debt Issuance Costs ("ASU 2015-03"). ASU 2015-03 requires debt issuance costs to be presented in the balance sheet as a direct deduction from the carrying value of the associated debt liability, consistent with the presentation of a debt discount. Prior to the issuance of the standard, debt issuance costs were required to be presented in the balance sheet as an asset. The Company is currently assessing the impact that adopting this new accounting guidance will have on its consolidated financial statements and footnote disclosures. ASU 2015-03 is effective for fiscal years, and interim periods within those years, beginning after December 15, 2015. Accordingly, the standard is effective for the Company on January 1,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February 2014, we reached an agreement to settle all claims and dismiss all pending litigation with PeopleCube Holding B.V. and Meeting Maker Holding B.V., the sellers of the capital stock of Meeting Maker – United States, Inc. (dba PeopleCube) that we purchased in July 2012.</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settlement agreement, the parties agreed to dismiss the litigation and we settled the remaining balance due by us of $2,460 on the Subordinated Notes Payable: PeopleCube Acquisition Note for $1,700. Separately, our insurance carrier agreed to pay us $500 in conjunction with the settlement. With the insurance proceeds and after offsetting any related litigation and other settlement costs incurred in 2014 of $226, we recorded a net gain of $1,034 on the settlement in the first quarter of 2014. We paid this note in full in the first quarter of 2014. 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2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Although Asure has been the defendant or plaintiff in various actions that arose in the normal course of business, as of March 31, 2015, we are not party to any pending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in U.S. generally accepted accounting principles and expands disclosures about fair value measurements.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 include:</w:t>
      </w:r>
    </w:p>
    <w:p>
      <w:pPr>
        <w:spacing w:after="0" w:line="24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xml:space="preserve">Quoted prices in active markets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assets or liabilities;</w:t>
      </w:r>
    </w:p>
    <w:p>
      <w:pPr>
        <w:spacing w:after="0" w:line="225" w:lineRule="exact"/>
        <w:rPr>
          <w:sz w:val="20"/>
          <w:szCs w:val="20"/>
          <w:color w:val="auto"/>
        </w:rPr>
      </w:pPr>
    </w:p>
    <w:p>
      <w:pPr>
        <w:ind w:left="1840" w:right="40" w:hanging="1174"/>
        <w:spacing w:after="0" w:line="277" w:lineRule="auto"/>
        <w:tabs>
          <w:tab w:leader="none" w:pos="18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xml:space="preserve">Quoted prices in active markets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70" w:lineRule="exact"/>
        <w:rPr>
          <w:sz w:val="20"/>
          <w:szCs w:val="20"/>
          <w:color w:val="auto"/>
        </w:rPr>
      </w:pPr>
    </w:p>
    <w:p>
      <w:pPr>
        <w:ind w:left="1840" w:right="40" w:hanging="1174"/>
        <w:spacing w:after="0" w:line="277" w:lineRule="auto"/>
        <w:tabs>
          <w:tab w:leader="none" w:pos="18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hierarchy for our financial assets measured at fair value on a recurring basis as of March 31,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respectively: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2"/>
              </w:rPr>
              <w:t>Fair Value Measure at March 31,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274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274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1"/>
              </w:rPr>
              <w:t>Fair Value Measure at December 31, 2014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our level 2 asset, the fair value is based on information obtained from our third party service provider and approximates carrying value.</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quantitative information about Level 3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acquisition of FotoPunch, Inc. (“FotoPunch”) in July 2014, we recorded contingent consideration based upon the expected achievement of certain milestone goals. Any changes to the fair value of contingent consideration due to changes in assumptions used in preparing the valuation model will be recorded in selling, general and administrative expenses in the Consolidated Statement of Comprehensive Loss. The balance at March 31, 2015 is $262, adjusted from the original amount of $327 after the valuation was finalized in the first quarter of 2015.</w:t>
      </w:r>
    </w:p>
    <w:p>
      <w:pPr>
        <w:spacing w:after="0" w:line="19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Contingent consideration is valued using a multi-scenario discounted cash flow method. The assumptions used in preparing the discounted cash flow method include estimates for outcomes if milestone goals are achieved and the probability of achieving each outcome. Probabilities were estimated by management and then applied to management’s conservative case forecast, most likely case forecast and optimistic case forecast with the various scenarios.</w:t>
      </w:r>
    </w:p>
    <w:p>
      <w:pPr>
        <w:spacing w:after="0" w:line="174" w:lineRule="exact"/>
        <w:rPr>
          <w:sz w:val="20"/>
          <w:szCs w:val="20"/>
          <w:color w:val="auto"/>
        </w:rPr>
      </w:pPr>
    </w:p>
    <w:p>
      <w:pPr>
        <w:jc w:val="both"/>
        <w:ind w:right="20" w:firstLine="703"/>
        <w:spacing w:after="0" w:line="342" w:lineRule="auto"/>
        <w:rPr>
          <w:sz w:val="20"/>
          <w:szCs w:val="20"/>
          <w:color w:val="auto"/>
        </w:rPr>
      </w:pPr>
      <w:r>
        <w:rPr>
          <w:rFonts w:ascii="Arial" w:cs="Arial" w:eastAsia="Arial" w:hAnsi="Arial"/>
          <w:sz w:val="16"/>
          <w:szCs w:val="16"/>
          <w:color w:val="auto"/>
        </w:rPr>
        <w:t>Significant changes in any of the unobservable inputs used in the fair value measurement of contingent consideration in isolation could result in a significantly lower or higher fair value. A change in projected revenue growth rates would be accompanied by a directionally similar change in fair value.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Acquisitions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2014, Asure acquired all of the issued and outstanding shares of common stock (the “Shares”) of FotoPunch, a Delaware corporation, a cloud-based time and labor solution provider whose photo-based time clock technology transforms any mobile device into a biometric, geo-located time clock. We have been working with FotoPunch since 2012 as a technology partner for our GeoPunch™ solution, which was launched to help customers support a workforce that is increasingly mobile, global and dispersed.</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aggregate consideration for the Shares consisted of (i) $1,500 in cash, a portion of which was used to pay certain obligations of FotoPunch and</w:t>
      </w:r>
    </w:p>
    <w:p>
      <w:pPr>
        <w:spacing w:after="0" w:line="46" w:lineRule="exact"/>
        <w:rPr>
          <w:sz w:val="20"/>
          <w:szCs w:val="20"/>
          <w:color w:val="auto"/>
        </w:rPr>
      </w:pPr>
    </w:p>
    <w:p>
      <w:pPr>
        <w:ind w:firstLine="8"/>
        <w:spacing w:after="0" w:line="261" w:lineRule="auto"/>
        <w:tabs>
          <w:tab w:leader="none" w:pos="279"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an additional $3,000 in post-closing earnout payments. We funded the $1,500 cash payment with proceeds from our credit agreement with Wells Fargo.</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$3,000 earnout is payable over three earnout periods (with the first, second and third periods ending June 30, 2015, June 30, 2016 and June 30, 2018, respectively) based on the FotoPunch operations achieving specified target revenues in an earnout period. At least 75% of the target revenues must be achieved in the first and second earnout periods and at least 50% of the target revenues must be achieved in the third earnout period. The earnout (“contingent consideration”) was recorded in Accrued Expenses in the accompanying Consolidated Balance Sheet with an estimated fair value of $327 at the date of acquisition. The fair value as of March 31, 2015 is $262.</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purchase price was allocated based upon fair value, as follows: net assets of ($1); technology of $440; goodwill of $1,388. The fair value of technology was determined using the income approach.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August 2014, Asure acquired substantially all the assets of Roomtag, LLC (“Roomtag”). The aggregate consideration for the assets consisted of</w:t>
      </w:r>
    </w:p>
    <w:p>
      <w:pPr>
        <w:spacing w:after="0" w:line="46" w:lineRule="exact"/>
        <w:rPr>
          <w:sz w:val="20"/>
          <w:szCs w:val="20"/>
          <w:color w:val="auto"/>
        </w:rPr>
      </w:pPr>
    </w:p>
    <w:p>
      <w:pPr>
        <w:jc w:val="both"/>
        <w:ind w:firstLine="8"/>
        <w:spacing w:after="0" w:line="273" w:lineRule="auto"/>
        <w:tabs>
          <w:tab w:leader="none" w:pos="234" w:val="left"/>
        </w:tabs>
        <w:numPr>
          <w:ilvl w:val="0"/>
          <w:numId w:val="3"/>
        </w:numPr>
        <w:rPr>
          <w:rFonts w:ascii="Arial" w:cs="Arial" w:eastAsia="Arial" w:hAnsi="Arial"/>
          <w:sz w:val="17"/>
          <w:szCs w:val="17"/>
          <w:color w:val="auto"/>
        </w:rPr>
      </w:pPr>
      <w:r>
        <w:rPr>
          <w:rFonts w:ascii="Arial" w:cs="Arial" w:eastAsia="Arial" w:hAnsi="Arial"/>
          <w:sz w:val="17"/>
          <w:szCs w:val="17"/>
          <w:color w:val="auto"/>
        </w:rPr>
        <w:t>$933 in cash and (ii) an unsecured subordinated promissory note (“Note”) for $754. We funded the $933 cash payment with proceeds from our credit agreement with Wells Fargo. The Note bears interest at an annual rate of 0.36% and is payable on October 31, 2016. We recorded the Note at fair value using a discount rate of 5%, which resulted in an original issue discount of $73, which will accrete up the note to its aggregate principal amount over the course of the life of the loan using the effective interest method. The balance of the Note at March 31, 2015 is $702.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Acquisition</w:t>
      </w:r>
    </w:p>
    <w:p>
      <w:pPr>
        <w:spacing w:after="0" w:line="25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 July 2012, Asure acquired the capital stock of Meeting Maker – United States, Inc., doing business as (“dba”) PeopleCube, for a combination of cash and Asure common stock.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purchase price was composed of $9,800 in cash, subject to a post-closing working capital adjustment, (ii) 255,000 shares of our common stock, par value $0.01 per share, representing just under five percent of Asure’s outstanding shares and valued at $2.94 per share and (iii) an additional $3,000 note from us due on October 31, 2014, subject to offset of any amounts owed by the seller under the indemnification provisions of the stock purchase agreement. The note was adjusted to a fair value of $2,404 at the date of purchase based on our incremental borrowing rate. We recorded the note at fair value using a discount rate of 10%, which resulted in an original issue discount of $622, which was accreted up to its aggregate principal amount over the course of the life of the loan using the effective interest method. Details regarding the financing of the acquisition are described in Note 6 – Notes Payable. Transaction costs for this acquisition were $905 and we expensed them as incurred.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December 2012, we demanded a purchase price adjustment from PeopleCube Holding B.V. and Meeting Maker Holding B.V., the sellers of the capital stock of Meeting Maker – United States, Inc. (dba PeopleCube) that we purchased in July 2012, based on matters we discovered after closing. In the third quarter of 2013, we reached an agreement to settle our post-closing working capital adjustment dispute. The parties agreed to a post-closing working capital adjustment due to us of $496, with accrued interest of $44, totaling $540. The parties agreed to reduce the original $3,000 deferred purchase payment by the post-closing adjustment amount of $540. This also had the effect of reducing our long-term debt by a like amount and $496 was deducted from our goodwill balance. The remaining deferred purchase price balance under the Subordinated Notes Payable: PeopleCube Acquisition Note then became $2,460.</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2014, we reached an agreement to settle all claims and dismiss all pending litigation with the sellers of PeopleCube. Under the settlement agreement, the parties agreed to dismiss the litigation and settle the remaining balance due of $2,460 on the Subordinated Notes Payable: PeopleCube Acquisition Note for $1,700. Separately, our insurance carrier agreed to pay us $500 in conjunction with the settlement. With the insurance proceeds and after offsetting any related litigation costs incurred in 2014, we recorded a net gain of $1,034 on the settlement in the first quarter of 2014. We paid this note in full in 2014. 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Asure accounted for its historical acquisitions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the acquisition of PeopleCube in 2012 and the acquisitions of FotoPunch and Roomtag in 2014.</w:t>
      </w:r>
    </w:p>
    <w:p>
      <w:pPr>
        <w:spacing w:after="0" w:line="171" w:lineRule="exact"/>
        <w:rPr>
          <w:sz w:val="20"/>
          <w:szCs w:val="20"/>
          <w:color w:val="auto"/>
        </w:rPr>
      </w:pPr>
    </w:p>
    <w:p>
      <w:pPr>
        <w:jc w:val="both"/>
        <w:ind w:firstLine="700"/>
        <w:spacing w:after="0" w:line="291"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 straight-line method over their estimated period of benefit, which generally ranges from one to nine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tcPr>
          <w:p>
            <w:pPr>
              <w:ind w:left="660"/>
              <w:spacing w:after="0"/>
              <w:rPr>
                <w:sz w:val="20"/>
                <w:szCs w:val="20"/>
                <w:color w:val="auto"/>
              </w:rPr>
            </w:pPr>
            <w:r>
              <w:rPr>
                <w:rFonts w:ascii="Arial" w:cs="Arial" w:eastAsia="Arial" w:hAnsi="Arial"/>
                <w:sz w:val="18"/>
                <w:szCs w:val="18"/>
                <w:color w:val="auto"/>
                <w:w w:val="97"/>
              </w:rPr>
              <w:t>The following table summarizes the changes in our goodwill:</w:t>
            </w:r>
          </w:p>
        </w:tc>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3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Adjustments to goodwill</w:t>
            </w:r>
          </w:p>
        </w:tc>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adjustments to goodwill</w:t>
            </w:r>
          </w:p>
        </w:tc>
        <w:tc>
          <w:tcPr>
            <w:tcW w:w="3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Balance at March 31, 2015</w:t>
            </w:r>
          </w:p>
        </w:tc>
        <w:tc>
          <w:tcPr>
            <w:tcW w:w="3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17,436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140" w:type="dxa"/>
            <w:vAlign w:val="bottom"/>
            <w:vMerge w:val="restart"/>
          </w:tcPr>
          <w:p>
            <w:pPr>
              <w:jc w:val="right"/>
              <w:ind w:right="2590"/>
              <w:spacing w:after="0"/>
              <w:rPr>
                <w:sz w:val="20"/>
                <w:szCs w:val="20"/>
                <w:color w:val="auto"/>
              </w:rPr>
            </w:pPr>
            <w:r>
              <w:rPr>
                <w:rFonts w:ascii="Arial" w:cs="Arial" w:eastAsia="Arial" w:hAnsi="Arial"/>
                <w:sz w:val="18"/>
                <w:szCs w:val="18"/>
                <w:color w:val="auto"/>
              </w:rPr>
              <w:t>10</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4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gross carrying amount and accumulated amortization of our intangible assets as of March 31, 2015 and December 31, 2014 are as follows:</w:t>
      </w:r>
    </w:p>
    <w:p>
      <w:pPr>
        <w:spacing w:after="0" w:line="271"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b w:val="1"/>
                <w:bCs w:val="1"/>
                <w:color w:val="auto"/>
              </w:rPr>
              <w:t>March 31, 2015</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Period (in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34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Years)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Net</w:t>
            </w:r>
          </w:p>
        </w:tc>
      </w:tr>
      <w:tr>
        <w:trPr>
          <w:trHeight w:val="216"/>
        </w:trPr>
        <w:tc>
          <w:tcPr>
            <w:tcW w:w="2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7.6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(7,703)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5,108</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Trade Names</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(664)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7"/>
        </w:trPr>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7.3</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18,603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(10,896)</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7,707</w:t>
            </w:r>
          </w:p>
        </w:tc>
      </w:tr>
      <w:tr>
        <w:trPr>
          <w:trHeight w:val="21"/>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w w:val="90"/>
              </w:rPr>
              <w:t>December 31, 2014</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Period (in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34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Years)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Net</w:t>
            </w:r>
          </w:p>
        </w:tc>
      </w:tr>
      <w:tr>
        <w:trPr>
          <w:trHeight w:val="216"/>
        </w:trPr>
        <w:tc>
          <w:tcPr>
            <w:tcW w:w="2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7.6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(7,234)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5,577</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Trade Names</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(662)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7"/>
        </w:trPr>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7.3</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18,607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(10,285)</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8,322</w:t>
            </w:r>
          </w:p>
        </w:tc>
      </w:tr>
      <w:tr>
        <w:trPr>
          <w:trHeight w:val="21"/>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record amortization expense using the straight-line method over the estimated useful lives of the intangible assets, as noted above. Amortization expenses for the three months ended March 31, 2015 and 2014 were $505 and $497, respectively, included in Operating Expenses. Amortization expenses recorded in Cost of Sales were $106 and $76 for the three months ended March 31, 2015 and 2014, respectively.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estimated amortization expense relating to our intangible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Twelve Months Ended</w:t>
            </w:r>
          </w:p>
        </w:tc>
        <w:tc>
          <w:tcPr>
            <w:tcW w:w="3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 (remaining)</w:t>
            </w:r>
          </w:p>
        </w:tc>
        <w:tc>
          <w:tcPr>
            <w:tcW w:w="434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December 31, 2016</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1,759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December 31, 2018</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1,390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Thereafter</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440" w:type="dxa"/>
            <w:vAlign w:val="bottom"/>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3820" w:type="dxa"/>
            <w:vAlign w:val="bottom"/>
            <w:gridSpan w:val="2"/>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7,707</w:t>
            </w:r>
          </w:p>
        </w:tc>
        <w:tc>
          <w:tcPr>
            <w:tcW w:w="1440" w:type="dxa"/>
            <w:vAlign w:val="bottom"/>
          </w:tcPr>
          <w:p>
            <w:pPr>
              <w:spacing w:after="0"/>
              <w:rPr>
                <w:sz w:val="22"/>
                <w:szCs w:val="22"/>
                <w:color w:val="auto"/>
              </w:rPr>
            </w:pPr>
          </w:p>
        </w:tc>
      </w:tr>
      <w:tr>
        <w:trPr>
          <w:trHeight w:val="601"/>
        </w:trPr>
        <w:tc>
          <w:tcPr>
            <w:tcW w:w="1440" w:type="dxa"/>
            <w:vAlign w:val="bottom"/>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tcPr>
          <w:p>
            <w:pPr>
              <w:jc w:val="right"/>
              <w:ind w:right="251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outstanding debt as of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Stated Interest</w:t>
            </w:r>
          </w:p>
        </w:tc>
        <w:tc>
          <w:tcPr>
            <w:tcW w:w="80" w:type="dxa"/>
            <w:vAlign w:val="bottom"/>
          </w:tcPr>
          <w:p>
            <w:pPr>
              <w:spacing w:after="0"/>
              <w:rPr>
                <w:sz w:val="18"/>
                <w:szCs w:val="18"/>
                <w:color w:val="auto"/>
              </w:rPr>
            </w:pPr>
          </w:p>
        </w:tc>
        <w:tc>
          <w:tcPr>
            <w:tcW w:w="1500" w:type="dxa"/>
            <w:vAlign w:val="bottom"/>
            <w:gridSpan w:val="4"/>
          </w:tcPr>
          <w:p>
            <w:pPr>
              <w:ind w:left="80"/>
              <w:spacing w:after="0"/>
              <w:rPr>
                <w:sz w:val="20"/>
                <w:szCs w:val="20"/>
                <w:color w:val="auto"/>
              </w:rPr>
            </w:pPr>
            <w:r>
              <w:rPr>
                <w:rFonts w:ascii="Arial" w:cs="Arial" w:eastAsia="Arial" w:hAnsi="Arial"/>
                <w:sz w:val="18"/>
                <w:szCs w:val="18"/>
                <w:b w:val="1"/>
                <w:bCs w:val="1"/>
                <w:color w:val="auto"/>
              </w:rPr>
              <w:t>Balance as of</w:t>
            </w: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 as of</w:t>
            </w:r>
          </w:p>
        </w:tc>
        <w:tc>
          <w:tcPr>
            <w:tcW w:w="0" w:type="dxa"/>
            <w:vAlign w:val="bottom"/>
          </w:tcPr>
          <w:p>
            <w:pPr>
              <w:spacing w:after="0"/>
              <w:rPr>
                <w:sz w:val="1"/>
                <w:szCs w:val="1"/>
                <w:color w:val="auto"/>
              </w:rPr>
            </w:pPr>
          </w:p>
        </w:tc>
      </w:tr>
      <w:tr>
        <w:trPr>
          <w:trHeight w:val="234"/>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tcPr>
          <w:p>
            <w:pPr>
              <w:spacing w:after="0"/>
              <w:rPr>
                <w:sz w:val="20"/>
                <w:szCs w:val="20"/>
                <w:color w:val="auto"/>
              </w:rPr>
            </w:pPr>
          </w:p>
        </w:tc>
        <w:tc>
          <w:tcPr>
            <w:tcW w:w="1260" w:type="dxa"/>
            <w:vAlign w:val="bottom"/>
          </w:tcPr>
          <w:p>
            <w:pPr>
              <w:ind w:left="28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20"/>
                <w:szCs w:val="20"/>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Rate</w:t>
            </w:r>
          </w:p>
        </w:tc>
        <w:tc>
          <w:tcPr>
            <w:tcW w:w="1580" w:type="dxa"/>
            <w:vAlign w:val="bottom"/>
            <w:gridSpan w:val="5"/>
          </w:tcPr>
          <w:p>
            <w:pPr>
              <w:ind w:left="80"/>
              <w:spacing w:after="0"/>
              <w:rPr>
                <w:sz w:val="20"/>
                <w:szCs w:val="20"/>
                <w:color w:val="auto"/>
              </w:rPr>
            </w:pPr>
            <w:r>
              <w:rPr>
                <w:rFonts w:ascii="Arial" w:cs="Arial" w:eastAsia="Arial" w:hAnsi="Arial"/>
                <w:sz w:val="18"/>
                <w:szCs w:val="18"/>
                <w:b w:val="1"/>
                <w:bCs w:val="1"/>
                <w:color w:val="auto"/>
              </w:rPr>
              <w:t>March 31, 2015</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87"/>
              </w:rPr>
              <w:t>December 31, 2014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 Payable: Roomtag Acquisition Note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10/31/2016</w:t>
            </w:r>
          </w:p>
        </w:tc>
        <w:tc>
          <w:tcPr>
            <w:tcW w:w="12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Term Loan - Wells Fargo</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3/31/2019</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Loan - Wells Fargo</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3/31/2019</w:t>
            </w:r>
          </w:p>
        </w:tc>
        <w:tc>
          <w:tcPr>
            <w:tcW w:w="17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Notes Payable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15,252</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Short-term notes payable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Long-term notes payable</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14,502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14,381</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380" w:type="dxa"/>
            <w:vAlign w:val="bottom"/>
            <w:gridSpan w:val="7"/>
          </w:tcPr>
          <w:p>
            <w:pPr>
              <w:jc w:val="right"/>
              <w:ind w:right="960"/>
              <w:spacing w:after="0"/>
              <w:rPr>
                <w:sz w:val="20"/>
                <w:szCs w:val="20"/>
                <w:color w:val="auto"/>
              </w:rPr>
            </w:pPr>
            <w:r>
              <w:rPr>
                <w:rFonts w:ascii="Arial" w:cs="Arial" w:eastAsia="Arial" w:hAnsi="Arial"/>
                <w:sz w:val="18"/>
                <w:szCs w:val="18"/>
                <w:color w:val="auto"/>
                <w:w w:val="99"/>
              </w:rPr>
              <w:t>The following table summarizes the future principal payments related to our outstanding debt: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89"/>
              </w:rPr>
              <w:t>Gross Amount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December 31, 2016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Gross Notes Payable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15,304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Less: Unamortized Original Issue Discount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Total Notes Payable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15,252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Roomtag Acquisition Note</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August 2014, we acquired substantially all the assets of Roomtag. The aggregate consideration for the assets consisted of (i) $933 in cash, and (ii) an unsecured subordinated promissory note (“Note”) for $754. We funded the $933 cash payment with proceeds from our credit agreement with Wells Fargo. The Note bears interest at an annual rate of 0.36% and is payable on October 31, 2016. We recorded the Note at fair value using a discount rate of 5%, which resulted in an original issue discount of $73, which will accrete up the note to its aggregate principal amount over the course of the life of the loan using the effective interest method. This Note is subordinated to our obligations under the Term Loan discussed below.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 Wells Fargo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2014, we entered into a Credit Agreement with Wells Fargo Bank, N.A., as administrative agent, and the lenders that are party thereto. We used the proceeds of the term loan to finance the repayment of all amounts outstanding under our loan agreement with Deerpath and the payment of certain fees, cost and expenses related to the Credit Agreement.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provides for a term loan in the amount of $15,000. The term loan will mature in March 2019. The outstanding principal amount of the term loan is payable follows:</w:t>
      </w:r>
    </w:p>
    <w:p>
      <w:pPr>
        <w:spacing w:after="0" w:line="170" w:lineRule="exact"/>
        <w:rPr>
          <w:sz w:val="20"/>
          <w:szCs w:val="20"/>
          <w:color w:val="auto"/>
        </w:rPr>
      </w:pPr>
    </w:p>
    <w:p>
      <w:pPr>
        <w:ind w:left="1300" w:hanging="129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$188 on June 30, 2014 and the last day of each fiscal quarter thereafter up to March 31, 2016;</w:t>
      </w:r>
    </w:p>
    <w:p>
      <w:pPr>
        <w:spacing w:after="0" w:line="23" w:lineRule="exact"/>
        <w:rPr>
          <w:rFonts w:ascii="Arial" w:cs="Arial" w:eastAsia="Arial" w:hAnsi="Arial"/>
          <w:sz w:val="18"/>
          <w:szCs w:val="18"/>
          <w:color w:val="auto"/>
        </w:rPr>
      </w:pPr>
    </w:p>
    <w:p>
      <w:pPr>
        <w:ind w:left="1300" w:hanging="129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$281 on June 30, 2016 and the last day of each fiscal quarter thereafter up to March 31, 2017; and</w:t>
      </w:r>
    </w:p>
    <w:p>
      <w:pPr>
        <w:spacing w:after="0" w:line="9" w:lineRule="exact"/>
        <w:rPr>
          <w:rFonts w:ascii="Arial" w:cs="Arial" w:eastAsia="Arial" w:hAnsi="Arial"/>
          <w:sz w:val="18"/>
          <w:szCs w:val="18"/>
          <w:color w:val="auto"/>
        </w:rPr>
      </w:pPr>
    </w:p>
    <w:p>
      <w:pPr>
        <w:ind w:left="1300" w:hanging="1292"/>
        <w:spacing w:after="0" w:line="261"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$375 on June 30, 2017 and the last day of each fiscal quarter thereafter, with a final payment of the remaining balance due on March 31, 2019</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Credit Agreement also provides for a revolving loan commitment in the aggregate amount of up to $3,000. The outstanding principal amount of the revolving loan is due and payable in March 2019. Additionally, the Credit Agreement provides for a $10,000 uncommitted incremental term loan facility to support permitted acquisitions. In July 2014, we borrowed $1,500 under the revolver, which was used to fund a portion of the acquisition cost of all of the issued and outstanding shares of common stock of FotoPunch, Inc. In August 2014, we borrowed $1,000 under the revolver which was used to fund a portion of the acquisition cost of substantially all the assets of Roomtag, LLC. We repaid the balance on the revolver in 2014, leaving a balance of $0 at December 31, 2014. As of March 31, 2015, $300 was outstanding and $0 was available for borrowing under the revolver.</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 loan and revolving loan will bear interest, at our option, at (i) the greater of 1% or LIBOR, plus an applicable margin or (ii) a base rate (as defined in the Credit Agreement) plus an applicable margin. We have elected to use the LIBOR rate plus the applicable margin, which was has remained constant at 5% since the inception of the loan. Interest is payable quarterly and the margin varies based upon our leverage ratio. See table below of applicable margin rates.</w:t>
      </w: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Base Rate</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LIBOR Rate</w:t>
            </w:r>
          </w:p>
        </w:tc>
      </w:tr>
      <w:tr>
        <w:trPr>
          <w:trHeight w:val="241"/>
        </w:trPr>
        <w:tc>
          <w:tcPr>
            <w:tcW w:w="5280" w:type="dxa"/>
            <w:vAlign w:val="bottom"/>
            <w:tcBorders>
              <w:bottom w:val="single" w:sz="8" w:color="auto"/>
            </w:tcBorders>
          </w:tcPr>
          <w:p>
            <w:pPr>
              <w:ind w:left="1820"/>
              <w:spacing w:after="0"/>
              <w:rPr>
                <w:sz w:val="20"/>
                <w:szCs w:val="20"/>
                <w:color w:val="auto"/>
              </w:rPr>
            </w:pPr>
            <w:r>
              <w:rPr>
                <w:rFonts w:ascii="Arial" w:cs="Arial" w:eastAsia="Arial" w:hAnsi="Arial"/>
                <w:sz w:val="18"/>
                <w:szCs w:val="18"/>
                <w:b w:val="1"/>
                <w:bCs w:val="1"/>
                <w:color w:val="auto"/>
              </w:rPr>
              <w:t>Total Leverage Ratio</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3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180" w:type="dxa"/>
            <w:vAlign w:val="bottom"/>
          </w:tcPr>
          <w:p>
            <w:pPr>
              <w:spacing w:after="0"/>
              <w:rPr>
                <w:sz w:val="20"/>
                <w:szCs w:val="20"/>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&gt; 2.75:1.0</w:t>
            </w:r>
          </w:p>
        </w:tc>
        <w:tc>
          <w:tcPr>
            <w:tcW w:w="1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&lt; 2.75:1.0 but &gt; 2.25:1</w:t>
            </w:r>
          </w:p>
        </w:tc>
        <w:tc>
          <w:tcPr>
            <w:tcW w:w="1740" w:type="dxa"/>
            <w:vAlign w:val="bottom"/>
            <w:gridSpan w:val="3"/>
          </w:tcPr>
          <w:p>
            <w:pPr>
              <w:jc w:val="right"/>
              <w:ind w:right="140"/>
              <w:spacing w:after="0"/>
              <w:rPr>
                <w:sz w:val="20"/>
                <w:szCs w:val="20"/>
                <w:color w:val="auto"/>
              </w:rPr>
            </w:pPr>
            <w:r>
              <w:rPr>
                <w:rFonts w:ascii="Arial" w:cs="Arial" w:eastAsia="Arial" w:hAnsi="Arial"/>
                <w:sz w:val="18"/>
                <w:szCs w:val="18"/>
                <w:color w:val="auto"/>
              </w:rPr>
              <w:t>2.50%</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&lt; 2.25:1</w:t>
            </w:r>
          </w:p>
        </w:tc>
        <w:tc>
          <w:tcPr>
            <w:tcW w:w="1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voluntarily prepay the principal amount outstanding under the revolving loan at any time without penalty or premium. However, we must pay a premium if we make a voluntary prepayment of outstanding principal under the term loan during the first two years following the closing date or if we are required to prepay outstanding principal under the Credit Agreement with proceeds resulting from certain asset sales or debt incurrence. The premium is 1% or 0.5% of the principal amount being prepaid depending on whether the prepayment occurs on or before the first anniversary of the closing date or subsequent to the first anniversary date through the second anniversary of the closing date. In addition, we are required to repay outstanding principal on an annual basis with 50% of excess cash flow, certain over advances, asset sale proceeds, debt proceeds, and proceeds from judgments and settlements. As of March 31, 2015, none of these payments were due.</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Credit Agreement, we are required to maintain a fixed charge coverage ratio of not less than 1.5 to 1.0 beginning with the quarter ending June 30, 2014 and each calendar quarter thereafter, and a leverage ratio of not greater than 3.5 to 1.0 beginning with the quarter ending June 30, 2014 with the levels stepping down thereafter. The Credit Agreement was amended in August 2014. The Amendment revised the leverage ratio beginning with the quarter ending September 30, 2014 to a leverage ratio of not greater than 3.6 to 1.0 with the levels stepping down thereafter. The Credit Agreement was amended in March 2015 to authorize us to optionally prepay, subject to specified conditions, the Subordinated Note Payable to Roomtag and to revise the leverage ratio beginning with the quarter ended March 31, 2015 to a leverage ratio of not greater than 3.5 to 1.0 with the levels stepping down thereafter.</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97" w:lineRule="exact"/>
        <w:rPr>
          <w:sz w:val="20"/>
          <w:szCs w:val="20"/>
          <w:color w:val="auto"/>
        </w:rPr>
      </w:pPr>
    </w:p>
    <w:p>
      <w:pPr>
        <w:jc w:val="both"/>
        <w:ind w:firstLine="701"/>
        <w:spacing w:after="0" w:line="276" w:lineRule="auto"/>
        <w:rPr>
          <w:sz w:val="20"/>
          <w:szCs w:val="20"/>
          <w:color w:val="auto"/>
        </w:rPr>
      </w:pPr>
      <w:r>
        <w:rPr>
          <w:rFonts w:ascii="Arial" w:cs="Arial" w:eastAsia="Arial" w:hAnsi="Arial"/>
          <w:sz w:val="17"/>
          <w:szCs w:val="17"/>
          <w:color w:val="auto"/>
        </w:rPr>
        <w:t>As of March 31, 2015, we were in compliance with all covenants, with the exception of the leverage ratio, and all payments remain current. A covenant waiver related to the leverage ratio was received from the lender as of March 31, 2015. As a result of the waiver, we were in compliance with all covenant requirements as of March 31, 2015. Absent certain one-time costs that occurred in the first quarter related to lease consolidation and sales reorganization, we do not believe a waiver would have been required. We expect to be in compliance or be able to obtain compliance through debt repayments with the available cash on hand or as expected to be generated from operations over the subsequent twelve month period.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2014 and in connection with the Credit Agreement, we and our wholly-owned active subsidiaries entered into a Guaranty and Security Agreement with Wells Fargo Bank. Under the Guaranty and Security Agreement, we and each of our wholly-owned active subsidiaries have guaranteed all obligations under the Credit Agreement and granted a security interest in substantially all of our and our subsidiaries’ assets.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 BASED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Share based compensation for our stock option plans for the three months ended March 31, 2015 and 2014 were $37 and $39, respectively. We issued 9,700 shares of common stock related to exercises of stock options granted from our Stock Option Plan for the three months ended March 31, 2015 and 10,000 for the three months ended March 31, 2014, respectively.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2014 to increase the number of shares reserved under the plan from 1,200,000 to 1,400,000. We have a total of 971,000 options granted and outstanding pursuant to the 2009 Plan as of March 31, 2015.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COMPREHENSIVE LOSS</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Comprehensive loss represents a measure of all changes in equity that result from recognized transactions and other economic events other than those resulting from investments by and distributions to shareholders. Our other comprehensive loss includes foreign currency translation adjustments.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each component of accumulated other comprehensive loss, net of tax:</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Foreign</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r>
      <w:tr>
        <w:trPr>
          <w:trHeight w:val="241"/>
        </w:trPr>
        <w:tc>
          <w:tcPr>
            <w:tcW w:w="5360" w:type="dxa"/>
            <w:vAlign w:val="bottom"/>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Currency Items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Loss Items</w:t>
            </w:r>
          </w:p>
        </w:tc>
        <w:tc>
          <w:tcPr>
            <w:tcW w:w="100" w:type="dxa"/>
            <w:vAlign w:val="bottom"/>
          </w:tcPr>
          <w:p>
            <w:pPr>
              <w:spacing w:after="0"/>
              <w:rPr>
                <w:sz w:val="20"/>
                <w:szCs w:val="20"/>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December 31, 2014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Amounts reclassified from accumulated other comprehensive income</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current-period other comprehensive loss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7"/>
        </w:trPr>
        <w:tc>
          <w:tcPr>
            <w:tcW w:w="5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March 31, 2015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r>
        <w:trPr>
          <w:trHeight w:val="20"/>
        </w:trPr>
        <w:tc>
          <w:tcPr>
            <w:tcW w:w="5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tax benefit (expense) allocated to each component of other comprehensive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80" w:type="dxa"/>
            <w:vAlign w:val="bottom"/>
            <w:gridSpan w:val="11"/>
          </w:tcPr>
          <w:p>
            <w:pPr>
              <w:jc w:val="center"/>
              <w:ind w:right="120"/>
              <w:spacing w:after="0"/>
              <w:rPr>
                <w:sz w:val="20"/>
                <w:szCs w:val="20"/>
                <w:color w:val="auto"/>
              </w:rPr>
            </w:pPr>
            <w:r>
              <w:rPr>
                <w:rFonts w:ascii="Arial" w:cs="Arial" w:eastAsia="Arial" w:hAnsi="Arial"/>
                <w:sz w:val="18"/>
                <w:szCs w:val="18"/>
                <w:b w:val="1"/>
                <w:bCs w:val="1"/>
                <w:color w:val="auto"/>
                <w:w w:val="92"/>
              </w:rPr>
              <w:t>Three Months Ended March 31, 2015</w:t>
            </w:r>
          </w:p>
        </w:tc>
        <w:tc>
          <w:tcPr>
            <w:tcW w:w="14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Before Tax</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Tax Benefit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Net of Tax</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4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4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40" w:type="dxa"/>
            <w:vAlign w:val="bottom"/>
          </w:tcPr>
          <w:p>
            <w:pPr>
              <w:spacing w:after="0"/>
              <w:rPr>
                <w:sz w:val="22"/>
                <w:szCs w:val="22"/>
                <w:color w:val="auto"/>
              </w:rPr>
            </w:pPr>
          </w:p>
        </w:tc>
      </w:tr>
      <w:tr>
        <w:trPr>
          <w:trHeight w:val="601"/>
        </w:trPr>
        <w:tc>
          <w:tcPr>
            <w:tcW w:w="1440" w:type="dxa"/>
            <w:vAlign w:val="bottom"/>
          </w:tcPr>
          <w:p>
            <w:pPr>
              <w:spacing w:after="0"/>
              <w:rPr>
                <w:sz w:val="24"/>
                <w:szCs w:val="24"/>
                <w:color w:val="auto"/>
              </w:rPr>
            </w:pPr>
          </w:p>
        </w:tc>
        <w:tc>
          <w:tcPr>
            <w:tcW w:w="34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NET LOSS PER SHARE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compute net loss per share based on the weighted average number of common shares outstanding for the period. Diluted net loss per share reflects the maximum dilution that would have resulted from incremental common shares issuable upon the exercise of stock options. We compute the number of common share equivalents, which includes stock options, using the treasury stock method. We have excluded stock options to acquire 971,000 and 772,000 shares as of March 31, 2015 and 2014, respectively, from the computation of the dilutive stock options because the effect of including the stock options would have been anti-dilutive.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computation of basic and diluted net loss per common share for the three months ended March 31, 2015 and 2014: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Three Months</w:t>
            </w: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Three Months</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rPr>
              <w:t>Ended March 31,</w:t>
            </w: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rPr>
              <w:t>Ended March 31,</w:t>
            </w: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1"/>
              </w:rPr>
              <w:t>Weighted-average shares of common stock outstanding</w:t>
            </w:r>
          </w:p>
        </w:tc>
        <w:tc>
          <w:tcPr>
            <w:tcW w:w="1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6,055,000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5,971,000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5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1440" w:type="dxa"/>
            <w:vAlign w:val="bottom"/>
          </w:tcPr>
          <w:p>
            <w:pPr>
              <w:spacing w:after="0"/>
              <w:rPr>
                <w:sz w:val="22"/>
                <w:szCs w:val="22"/>
                <w:color w:val="auto"/>
              </w:rPr>
            </w:pPr>
          </w:p>
        </w:tc>
      </w:tr>
      <w:tr>
        <w:trPr>
          <w:trHeight w:val="601"/>
        </w:trPr>
        <w:tc>
          <w:tcPr>
            <w:tcW w:w="1440" w:type="dxa"/>
            <w:vAlign w:val="bottom"/>
          </w:tcPr>
          <w:p>
            <w:pPr>
              <w:spacing w:after="0"/>
              <w:rPr>
                <w:sz w:val="24"/>
                <w:szCs w:val="24"/>
                <w:color w:val="auto"/>
              </w:rPr>
            </w:pPr>
          </w:p>
        </w:tc>
        <w:tc>
          <w:tcPr>
            <w:tcW w:w="408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jc w:val="right"/>
              <w:ind w:right="101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review of Asure’s financial position as of and for the three months ended March 31, 2015 and 2014 should be read in conjunction with our 2014 Annual Report on Form 10-K filed with the Securities and Exchange Commission. Asure’s internet website address is http://www.asuresoftware.com. Our annual reports on Form 10-K, quarterly reports on Form 10-Q, current reports on Form 8-K and amendments to those reports filed or furnished pursuant to Section 13(a) or 15(d) of the Securities Exchange Act of 1934 are available through the investor relations page of our internet website free of charge as soon as reasonably practicable after they are electronically filed, or furnished to, the Securities and Exchange Commission. Asure’s internet website and the information contained therein or connected thereto is not incorporated into this Quarterly Report on Form 10-Q.</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Asure is a leading global provider of cloud-based software-as-a-service (“SaaS”) time and labor management and workspace management solutions that enable companies of all sizes and complexities to operate more efficiently and proactively manage costs associated with their most expensive assets: real estate, labor and technology.</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currently offer two main product lines, AsureSpace™ and AsureForce®. Our AsureSpace™ workplace management solutions enable organizations to manage their office environments and optimize real estate utilization. Our AsureForce® time and labor management solutions help organizations optimize labor and labor administration costs and activities. For both product lines, support and professional services are other key elements of our software and services business. As an extension of our perpetual software product offerings, Asure offers our customers maintenance and support contracts that provide ready access to qualified support staff, software patches and upgrades to our software products. We also provide installation of and training on our products, add-on software customization and other professional services on a global scale.</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 Asure has attempted to identify these forward-looking statements with the words “believes,” “estimates,” “plans,” “expects,” “anticipates,” “may,” “could” and other similar expressions. Although these forward-looking statements reflect management’s current plans and expectations, which we believe are reasonable as of the filing date of this report, they inherently are subject to certain risks and uncertainties. These risks and uncertainties include — but are not limited to — adverse changes in the economy, financial markets, and credit markets; delays or reductions in information technology spending; the development of the market for cloud based workplace applications; product development; market acceptance of new products and product improvements; our ability to retain or increase our customer base; security breaches; errors, disruptions or delays in our services; privacy concerns; changes in the our sales cycle; competition, including pricing pressures, entry of new competitors, and new technologies; intellectual property enforcement and litigation; our ability to hire, retain and motivate employees; our ability to manage our growth; our ability to realize benefits from acquisitions; changes in sales may not be immediately reflected in our operating results due to our subscription model; changes in laws and regulations; and changes in accounting standards. Asure is under no obligation to update any of the forward-looking statements after the date of this Form 10-Q to conform such statements to actual results.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for the fiscal periods indicated, the percentage of total revenues represented by certain items in Asure’s Condensed Consolidated Statements of Comprehensive Loss: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0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FOR THE THREE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20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MONTHS ENDED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1"/>
        </w:trPr>
        <w:tc>
          <w:tcPr>
            <w:tcW w:w="534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3"/>
              </w:rPr>
              <w:t>March 31,</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5340" w:type="dxa"/>
            <w:vAlign w:val="bottom"/>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9"/>
                <w:szCs w:val="19"/>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Gross margin</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73.9</w:t>
            </w: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76.1</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74.1</w:t>
            </w: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70.2</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other loss, net</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2015 AND 2014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gridSpan w:val="2"/>
          </w:tcPr>
          <w:p>
            <w:pPr>
              <w:ind w:left="640"/>
              <w:spacing w:after="0"/>
              <w:rPr>
                <w:sz w:val="20"/>
                <w:szCs w:val="20"/>
                <w:color w:val="auto"/>
              </w:rPr>
            </w:pPr>
            <w:r>
              <w:rPr>
                <w:rFonts w:ascii="Arial" w:cs="Arial" w:eastAsia="Arial" w:hAnsi="Arial"/>
                <w:sz w:val="18"/>
                <w:szCs w:val="18"/>
                <w:color w:val="auto"/>
              </w:rPr>
              <w:t>Our revenue was derived from the following sources: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rPr>
              <w:t>FOR THE THREE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rPr>
              <w:t>MONTHS ENDED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8"/>
                <w:szCs w:val="18"/>
                <w:b w:val="1"/>
                <w:bCs w:val="1"/>
                <w:color w:val="auto"/>
                <w:w w:val="93"/>
              </w:rPr>
              <w:t>March 31,</w:t>
            </w: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Increase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(Decrease)</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Cloud 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Hardware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On premise software license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6,332</w:t>
            </w:r>
          </w:p>
        </w:tc>
        <w:tc>
          <w:tcPr>
            <w:tcW w:w="240" w:type="dxa"/>
            <w:vAlign w:val="bottom"/>
          </w:tcPr>
          <w:p>
            <w:pPr>
              <w:spacing w:after="0"/>
              <w:rPr>
                <w:sz w:val="18"/>
                <w:szCs w:val="18"/>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6,527</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 represents our consolidated revenues,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product offerings are categorized into AsureSpace™ and AsureForce®. AsureSpace™ offers workplace management solutions that enable organizations to manage their office environments and optimize real estate utilization, and AsureForce® offers time and labor management solutions which help organizations optimize labor and labor administration costs and activities. Both product groupings include cloud revenue, hardware revenue, maintenance and support revenue, on premise software license revenue and professional services revenue. AsureSpace™ revenues include PeopleCube, Meeting Room Manager and Roomtag revenues. AsureForce® revenues include ADI, Legiant, iEmployee and FotoPunch revenues.</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Revenue for the three months ended March 31, 2015 was $6,332, a decrease of $195 or 3.0%, from the $6,527 reported for the three months ended March 31, 2014. Cloud revenue increased from the first quarter of 2014 due to our continued emphasis on selling integrated cloud based solutions. AsureSpace™ revenue for the three months ended March 31, 2015 was $3,783, a decrease of $98 or 2.5%, from the $3,881 recorded for the three months ended March 31, 2014.The decrease was split along the product lines, except cloud revenue, which increased $146 or 8.7%, over the three months ended March 31, 2014. The largest decrease was in hardware revenue of $93, or 27%, primarily caused by a backlog of hardware orders due to lack of inventory availability for certain hardware products. AsureForce® revenue for the three months ended March 31, 2015 was $2,549, a decrease of $97 or 3.7%, from the $2,646 recorded for the three months ended March 31, 2014. This decrease was primarily in legacy iEmployee and Legiant cloud revenue and Legiant maintenance and support revenue, offset by an increase in ADI cloud, hardware and maintenance and support revenue.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our total customer base is widely spread across industries, our sales are concentrated in certain industry sectors, including corporate, education, healthcare, government, legal and non-profit. Geographically, we sell our products worldwide, but sales are largely concentrated in the United States, Canada and Europe. Additionally, we have a distribution partner in Australia. As the overall workforce management solutions market continues to experience significant growth related to SaaS products, we will continue to focus on sales of Meeting Room Manager On Demand, PeopleCube and ADI SaaS products.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continuing to develop our workforce and workspace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us a product line that includes software to assist customers in driving integrated facility management of offices, conference rooms, video conferencing, events and training, alternative workspaces and lobby use. The 2014 acquisitions of FotoPunch and Roomtag support our vision to deliver innovative cloud-based workplace technologies.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gross margin for the three months ended March 31, 2015 was $4,680, a decrease of $289, or 5.8%, from the $4,969 reported for the three months ended March 31, 2014. Gross margin as a percentage of revenues was 73.9% and 76.1% for the three months ended March 31, 2015 and 2014, respectively. The decrease in gross margin percentage is primarily due to a shift in the mix of our revenue between our higher margin and lower margin product lines.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(“SG&amp;A”) expenses for the three months ended March 31, 2015 were $3,449, an increase of $87 or 2.6%, from the $3,362 reported for the three months ended March 31, 2014. SG&amp;A expenses as a percentage of revenues were 54.5% and 51.5% for the three months ended March 31, 2015 and 2014,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evaluate any unnecessary SG&amp;A expenses and plan to further reduce expenses as appropriate.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Research and development (“R&amp;D”) expenses for the three months ended March 31, 2015 were $738, an increase of $17, or 2.4%, from the $721 reported for the three months ended March 31, 2014. R&amp;D expenses as a percentage of revenues were 11.7% and 11.0% for the three months ended March 31, 2015 and 2014, respectively.</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 to improve our products and technologies through organic improvements as well as through acquired intellectual property. We believe that our expanded investment in SaaS hosting, mobile and hardware technologies lays the ground work for broader market opportunities, and represents a key aspect of our competitive differentiation. Native mobile applications, QR Code integration, expanded web service integration and other technologies are all part of our initiatives.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development efforts for future releases and enhancements are driven by feedback received from our existing and potential customers and by gauging market trends. We believe we have the appropriate development team to design and further improve our workforce management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Amortization expenses for the three months ended March 31, 2015 were $505, a slight increase of $8, or 1.6%, from the $497 reported for the three months ended March 31, 2014. Amortization expenses as a percentage of revenues were 8.0% and 7.6% for the three months ended March 31, 2015 and 2014,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Loss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Other loss for the three months ended March 31, 2015 was $411, a decrease of $466, or 53.1%, from the $877 reported for the three months ended March 31, 2014. Other loss as a percentage of revenues was 6.5% and 13.4% for the three months ended March 31, 2015 and 2014, respectively. Other loss for the three months ended March 31, 2015 is composed primarily of interest expense on notes payable of $280 and a loss on lease termination of $110. Other loss for the three months ended March 31, 2014 is composed primarily of a loss on debt refinancing of $1,402, offset by a gain on the settlement of the PeopleCube litigation of $1,034. Interest expense on notes payable was $457 for the three months ended March 31, 2014.</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 expense for the three months ended March 31, 2015 was $60, an increase of $18, or 42.9%, from the $42 reported for the three months ended March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incurred a net loss of $483, or $(0.08) per share, during the three months ended March 31, 2015, compared to a net loss of $530 or $(0.09) per share reported for the three months ended March 31, 2014. Net loss as a percentage of total revenues was 7.6% for the three months ended March 31, 2015 compared to net loss of 8.1% of total revenues for the three months ended March 31, 2014.</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continue to implement our corporate strategy for growing the software and services business by modestly investing in areas that directly generate revenue and positive cash flows for the Company. However, uncertainties and challenges remain and there can be no assurance that we can successfully grow our revenues or achieve profitability during the remainder of fiscal year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 (Amounts in thousands)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34"/>
        </w:trPr>
        <w:tc>
          <w:tcPr>
            <w:tcW w:w="1440" w:type="dxa"/>
            <w:vAlign w:val="bottom"/>
            <w:tcBorders>
              <w:top w:val="single" w:sz="8" w:color="auto"/>
            </w:tcBorders>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4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(7,314)</w:t>
            </w:r>
          </w:p>
        </w:tc>
      </w:tr>
      <w:tr>
        <w:trPr>
          <w:trHeight w:val="230"/>
        </w:trPr>
        <w:tc>
          <w:tcPr>
            <w:tcW w:w="144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320</w:t>
            </w:r>
          </w:p>
        </w:tc>
      </w:tr>
      <w:tr>
        <w:trPr>
          <w:trHeight w:val="400"/>
        </w:trPr>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41"/>
        </w:trPr>
        <w:tc>
          <w:tcPr>
            <w:tcW w:w="14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12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r>
      <w:tr>
        <w:trPr>
          <w:trHeight w:val="432"/>
        </w:trPr>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Cash used in investing activities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r>
      <w:tr>
        <w:trPr>
          <w:trHeight w:val="216"/>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(2,165)</w:t>
            </w: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u w:val="single" w:color="auto"/>
          <w:color w:val="auto"/>
        </w:rPr>
        <w:t>Working Capital</w:t>
      </w:r>
      <w:r>
        <w:rPr>
          <w:rFonts w:ascii="Arial" w:cs="Arial" w:eastAsia="Arial" w:hAnsi="Arial"/>
          <w:sz w:val="17"/>
          <w:szCs w:val="17"/>
          <w:color w:val="auto"/>
        </w:rPr>
        <w:t>. We had a working capital deficit of $7,962 at March 31, 2015, an increase in our deficit of $648 from the $7,314 deficit at December 31, 2014. The working capital deficit at March 31, 2015 and December 31, 2014 includes $10,265 and $10,641 of deferred revenue, respectively. Deferred revenue is an obligation to perform future services. We expect that deferred revenue will convert to future revenue as we perform our services, but this does not represent future payments. Deferred revenue can vary based on seasonality, expiration of initial multi-year contracts and deals that are billed after implementation rather than in advance of service delivery. We attribute the increase in our working capital deficit to an increase in accounts payable of $648, together with a decrease in accounts receivable of $416 and decrease in prepaid expense and other assets of $131, offset by a decrease in accrued compensation and benefits of $125 and a decrease in deferred revenue of $376.</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u w:val="single" w:color="auto"/>
          <w:color w:val="auto"/>
        </w:rPr>
        <w:t>Operating Activities</w:t>
      </w:r>
      <w:r>
        <w:rPr>
          <w:rFonts w:ascii="Arial" w:cs="Arial" w:eastAsia="Arial" w:hAnsi="Arial"/>
          <w:sz w:val="17"/>
          <w:szCs w:val="17"/>
          <w:color w:val="auto"/>
        </w:rPr>
        <w:t>. Cash provided by operating activities was $546 for the three months ended March 31, 2015. The $546 of cash provided by operating activities during the first quarter of 2015 was primarily driven by net income (after adjustment for non-cash items) of $362, an increase in accounts payable of $648 as well as a decrease in accounts receivable of $401. This was offset by an increase in prepaid expenses and other assets of $195, a decrease in accrued expenses and deferred revenue of $65 and $512, respectively. The $71 of cash provided by operating activities during the first quarter of 2014 was primarily driven by net income (after adjustment for non-cash items) of $613 and an increase in accounts payable of $181, offset by a decrease in accrued expenses and deferred revenue of $286 and $107, respectively, as well as an increase in accounts receivable of $311.</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Investing Activities</w:t>
      </w:r>
      <w:r>
        <w:rPr>
          <w:rFonts w:ascii="Arial" w:cs="Arial" w:eastAsia="Arial" w:hAnsi="Arial"/>
          <w:sz w:val="18"/>
          <w:szCs w:val="18"/>
          <w:color w:val="auto"/>
        </w:rPr>
        <w:t>. Cash used in investing activities was $632 and $163 for the three months ended March 31, 2015 and March 31, 2014, respectively, due primarily to net purchases of property and equipment.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Financing Activities</w:t>
      </w:r>
      <w:r>
        <w:rPr>
          <w:rFonts w:ascii="Arial" w:cs="Arial" w:eastAsia="Arial" w:hAnsi="Arial"/>
          <w:sz w:val="18"/>
          <w:szCs w:val="18"/>
          <w:color w:val="auto"/>
        </w:rPr>
        <w:t>. Cash provided by financing activities was $29 for the three months ended March 31, 2015. We incurred $1,000 of debt. This is offset by note payments of $887 and debt financing fees of $75. Cash used in financing for the three months ended March 31, 2014 was $2,165. We incurred $15,000 of debt, as well as received cash of $373 from insurance proceeds for settlement of notes payable, net of expenses. This is offset by note payments of $16,248 and debt financing fees of $575.</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u w:val="single" w:color="auto"/>
          <w:color w:val="auto"/>
        </w:rPr>
        <w:t>Sources of Liquidity</w:t>
      </w:r>
      <w:r>
        <w:rPr>
          <w:rFonts w:ascii="Arial" w:cs="Arial" w:eastAsia="Arial" w:hAnsi="Arial"/>
          <w:sz w:val="16"/>
          <w:szCs w:val="16"/>
          <w:color w:val="auto"/>
        </w:rPr>
        <w:t>. As of March 31, 2015, Asure’s principal sources of liquidity consisted of approximately $274 of cash and cash equivalents and future cash generated from operations. We believe that we have and/or will generate sufficient cash for our short- and long-term needs. Based on current internal projections, we believe that we have and/or will generate sufficient cash for our operational needs, including any required debt payments, for at least the next twelve months. We currently project that we can generate positive cash flows from our operating activities for at least the next twelve months.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 team is focused on growing our existing software operations and is also seeking additional strategic acquisitions for the near future. At present, we plan to fund any future acquisition with equity, existing cash and cash equivalents cash generated from future operations and/or cash or debt raised from outside sources.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2014. For additional information on critical accounting policies, refer to “Management’s Discussion and Analysis” in our 2014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under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us. 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as of March 31, 2015 to provide reasonable assurance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 over Financial Reporting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period ended March 31, 2015, there were no changes in our internal control over financial reporting that have materially affected, or are reasonably likely to materially affect, our internal control over financial reporting.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ind w:left="66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19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66"/>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auto"/>
            </w:tcBorders>
            <w:gridSpan w:val="3"/>
          </w:tcPr>
          <w:p>
            <w:pPr>
              <w:ind w:left="40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96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15"/>
                <w:szCs w:val="15"/>
                <w:color w:val="auto"/>
              </w:rPr>
            </w:pPr>
          </w:p>
        </w:tc>
      </w:tr>
      <w:tr>
        <w:trPr>
          <w:trHeight w:val="412"/>
        </w:trPr>
        <w:tc>
          <w:tcPr>
            <w:tcW w:w="19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24"/>
                <w:szCs w:val="24"/>
                <w:color w:val="auto"/>
              </w:rPr>
            </w:pPr>
          </w:p>
        </w:tc>
      </w:tr>
      <w:tr>
        <w:trPr>
          <w:trHeight w:val="412"/>
        </w:trPr>
        <w:tc>
          <w:tcPr>
            <w:tcW w:w="19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9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19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w w:val="96"/>
              </w:rPr>
              <w:t>The following materials from Asure Software, Inc.’s Quarterly Report on Form 10-Q for the quarter ended March 31, 2015,</w:t>
            </w:r>
          </w:p>
        </w:tc>
      </w:tr>
    </w:tbl>
    <w:p>
      <w:pPr>
        <w:jc w:val="both"/>
        <w:ind w:left="2080" w:right="40"/>
        <w:spacing w:after="0" w:line="255" w:lineRule="auto"/>
        <w:rPr>
          <w:sz w:val="20"/>
          <w:szCs w:val="20"/>
          <w:color w:val="auto"/>
        </w:rPr>
      </w:pPr>
      <w:r>
        <w:rPr>
          <w:rFonts w:ascii="Arial" w:cs="Arial" w:eastAsia="Arial" w:hAnsi="Arial"/>
          <w:sz w:val="18"/>
          <w:szCs w:val="18"/>
          <w:color w:val="auto"/>
        </w:rPr>
        <w:t>formatted in XBRL (Extensible Business Reporting Language): (1) the Condensed Consolidated Balance Sheets, (2) the Condensed Consolidated Statements of Comprehensive Loss, (3) the Condensed Consolidated Statements of Cash Flows, and (4) 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5520" w:type="dxa"/>
            <w:vAlign w:val="bottom"/>
            <w:gridSpan w:val="2"/>
          </w:tcPr>
          <w:p>
            <w:pPr>
              <w:ind w:left="1200"/>
              <w:spacing w:after="0"/>
              <w:rPr>
                <w:sz w:val="20"/>
                <w:szCs w:val="20"/>
                <w:color w:val="auto"/>
              </w:rPr>
            </w:pPr>
            <w:r>
              <w:rPr>
                <w:rFonts w:ascii="Arial" w:cs="Arial" w:eastAsia="Arial" w:hAnsi="Arial"/>
                <w:sz w:val="18"/>
                <w:szCs w:val="18"/>
                <w:b w:val="1"/>
                <w:bCs w:val="1"/>
                <w:color w:val="auto"/>
              </w:rPr>
              <w:t>ASURE SOFTWARE, INC.</w:t>
            </w:r>
          </w:p>
        </w:tc>
        <w:tc>
          <w:tcPr>
            <w:tcW w:w="3680" w:type="dxa"/>
            <w:vAlign w:val="bottom"/>
          </w:tcPr>
          <w:p>
            <w:pPr>
              <w:spacing w:after="0"/>
              <w:rPr>
                <w:sz w:val="20"/>
                <w:szCs w:val="20"/>
                <w:color w:val="auto"/>
              </w:rPr>
            </w:pPr>
          </w:p>
        </w:tc>
      </w:tr>
      <w:tr>
        <w:trPr>
          <w:trHeight w:val="655"/>
        </w:trPr>
        <w:tc>
          <w:tcPr>
            <w:tcW w:w="2220" w:type="dxa"/>
            <w:vAlign w:val="bottom"/>
          </w:tcPr>
          <w:p>
            <w:pPr>
              <w:spacing w:after="0"/>
              <w:rPr>
                <w:sz w:val="20"/>
                <w:szCs w:val="20"/>
                <w:color w:val="auto"/>
              </w:rPr>
            </w:pPr>
            <w:r>
              <w:rPr>
                <w:rFonts w:ascii="Arial" w:cs="Arial" w:eastAsia="Arial" w:hAnsi="Arial"/>
                <w:sz w:val="18"/>
                <w:szCs w:val="18"/>
                <w:color w:val="auto"/>
              </w:rPr>
              <w:t>May 13, 2015</w:t>
            </w:r>
          </w:p>
        </w:tc>
        <w:tc>
          <w:tcPr>
            <w:tcW w:w="2240" w:type="dxa"/>
            <w:vAlign w:val="bottom"/>
          </w:tcPr>
          <w:p>
            <w:pPr>
              <w:ind w:left="1200"/>
              <w:spacing w:after="0"/>
              <w:rPr>
                <w:sz w:val="20"/>
                <w:szCs w:val="20"/>
                <w:color w:val="auto"/>
              </w:rPr>
            </w:pPr>
            <w:r>
              <w:rPr>
                <w:rFonts w:ascii="Arial" w:cs="Arial" w:eastAsia="Arial" w:hAnsi="Arial"/>
                <w:sz w:val="18"/>
                <w:szCs w:val="18"/>
                <w:color w:val="auto"/>
              </w:rPr>
              <w:t>By:</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GOEPEL</w:t>
            </w:r>
          </w:p>
        </w:tc>
        <w:tc>
          <w:tcPr>
            <w:tcW w:w="3680" w:type="dxa"/>
            <w:vAlign w:val="bottom"/>
          </w:tcPr>
          <w:p>
            <w:pPr>
              <w:spacing w:after="0"/>
              <w:rPr>
                <w:sz w:val="24"/>
                <w:szCs w:val="24"/>
                <w:color w:val="auto"/>
              </w:rPr>
            </w:pPr>
          </w:p>
        </w:tc>
      </w:tr>
      <w:tr>
        <w:trPr>
          <w:trHeight w:val="202"/>
        </w:trPr>
        <w:tc>
          <w:tcPr>
            <w:tcW w:w="2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Patrick Goepel</w:t>
            </w:r>
          </w:p>
        </w:tc>
        <w:tc>
          <w:tcPr>
            <w:tcW w:w="368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680" w:type="dxa"/>
            <w:vAlign w:val="bottom"/>
          </w:tcPr>
          <w:p>
            <w:pPr>
              <w:spacing w:after="0"/>
              <w:rPr>
                <w:sz w:val="20"/>
                <w:szCs w:val="20"/>
                <w:color w:val="auto"/>
              </w:rPr>
            </w:pPr>
          </w:p>
        </w:tc>
      </w:tr>
      <w:tr>
        <w:trPr>
          <w:trHeight w:val="439"/>
        </w:trPr>
        <w:tc>
          <w:tcPr>
            <w:tcW w:w="2220" w:type="dxa"/>
            <w:vAlign w:val="bottom"/>
          </w:tcPr>
          <w:p>
            <w:pPr>
              <w:spacing w:after="0"/>
              <w:rPr>
                <w:sz w:val="20"/>
                <w:szCs w:val="20"/>
                <w:color w:val="auto"/>
              </w:rPr>
            </w:pPr>
            <w:r>
              <w:rPr>
                <w:rFonts w:ascii="Arial" w:cs="Arial" w:eastAsia="Arial" w:hAnsi="Arial"/>
                <w:sz w:val="18"/>
                <w:szCs w:val="18"/>
                <w:color w:val="auto"/>
              </w:rPr>
              <w:t>May 13, 2015</w:t>
            </w:r>
          </w:p>
        </w:tc>
        <w:tc>
          <w:tcPr>
            <w:tcW w:w="2240" w:type="dxa"/>
            <w:vAlign w:val="bottom"/>
          </w:tcPr>
          <w:p>
            <w:pPr>
              <w:ind w:left="1200"/>
              <w:spacing w:after="0"/>
              <w:rPr>
                <w:sz w:val="20"/>
                <w:szCs w:val="20"/>
                <w:color w:val="auto"/>
              </w:rPr>
            </w:pPr>
            <w:r>
              <w:rPr>
                <w:rFonts w:ascii="Arial" w:cs="Arial" w:eastAsia="Arial" w:hAnsi="Arial"/>
                <w:sz w:val="18"/>
                <w:szCs w:val="18"/>
                <w:color w:val="auto"/>
              </w:rPr>
              <w:t>By:</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WOLFE</w:t>
            </w:r>
          </w:p>
        </w:tc>
        <w:tc>
          <w:tcPr>
            <w:tcW w:w="3680" w:type="dxa"/>
            <w:vAlign w:val="bottom"/>
          </w:tcPr>
          <w:p>
            <w:pPr>
              <w:spacing w:after="0"/>
              <w:rPr>
                <w:sz w:val="24"/>
                <w:szCs w:val="24"/>
                <w:color w:val="auto"/>
              </w:rPr>
            </w:pPr>
          </w:p>
        </w:tc>
      </w:tr>
      <w:tr>
        <w:trPr>
          <w:trHeight w:val="202"/>
        </w:trPr>
        <w:tc>
          <w:tcPr>
            <w:tcW w:w="2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Brad Wolfe</w:t>
            </w:r>
          </w:p>
        </w:tc>
        <w:tc>
          <w:tcPr>
            <w:tcW w:w="368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680" w:type="dxa"/>
            <w:vAlign w:val="bottom"/>
          </w:tcPr>
          <w:p>
            <w:pPr>
              <w:spacing w:after="0"/>
              <w:rPr>
                <w:sz w:val="20"/>
                <w:szCs w:val="20"/>
                <w:color w:val="auto"/>
              </w:rPr>
            </w:pPr>
          </w:p>
        </w:tc>
      </w:tr>
      <w:tr>
        <w:trPr>
          <w:trHeight w:val="797"/>
        </w:trPr>
        <w:tc>
          <w:tcPr>
            <w:tcW w:w="2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80" w:type="dxa"/>
            <w:vAlign w:val="bottom"/>
          </w:tcPr>
          <w:p>
            <w:pPr>
              <w:ind w:left="1160"/>
              <w:spacing w:after="0"/>
              <w:rPr>
                <w:sz w:val="20"/>
                <w:szCs w:val="20"/>
                <w:color w:val="auto"/>
              </w:rPr>
            </w:pPr>
            <w:r>
              <w:rPr>
                <w:rFonts w:ascii="Arial" w:cs="Arial" w:eastAsia="Arial" w:hAnsi="Arial"/>
                <w:sz w:val="18"/>
                <w:szCs w:val="18"/>
                <w:color w:val="auto"/>
              </w:rPr>
              <w:t>22</w:t>
            </w:r>
          </w:p>
        </w:tc>
        <w:tc>
          <w:tcPr>
            <w:tcW w:w="3680" w:type="dxa"/>
            <w:vAlign w:val="bottom"/>
          </w:tcPr>
          <w:p>
            <w:pPr>
              <w:spacing w:after="0"/>
              <w:rPr>
                <w:sz w:val="24"/>
                <w:szCs w:val="24"/>
                <w:color w:val="auto"/>
              </w:rPr>
            </w:pPr>
          </w:p>
        </w:tc>
      </w:tr>
      <w:tr>
        <w:trPr>
          <w:trHeight w:val="118"/>
        </w:trPr>
        <w:tc>
          <w:tcPr>
            <w:tcW w:w="222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3"/>
          </w:tcPr>
          <w:p>
            <w:pPr>
              <w:ind w:left="2720"/>
              <w:spacing w:after="0"/>
              <w:rPr>
                <w:sz w:val="20"/>
                <w:szCs w:val="20"/>
                <w:color w:val="auto"/>
              </w:rPr>
            </w:pPr>
            <w:r>
              <w:rPr>
                <w:rFonts w:ascii="Arial" w:cs="Arial" w:eastAsia="Arial" w:hAnsi="Arial"/>
                <w:sz w:val="18"/>
                <w:szCs w:val="18"/>
                <w:b w:val="1"/>
                <w:bCs w:val="1"/>
                <w:color w:val="auto"/>
              </w:rPr>
              <w:t>INDEX TO EXHIBITS</w:t>
            </w:r>
          </w:p>
        </w:tc>
      </w:tr>
      <w:tr>
        <w:trPr>
          <w:trHeight w:val="439"/>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auto"/>
            </w:tcBorders>
            <w:gridSpan w:val="3"/>
          </w:tcPr>
          <w:p>
            <w:pPr>
              <w:ind w:left="40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15"/>
                <w:szCs w:val="15"/>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w w:val="96"/>
              </w:rPr>
              <w:t>The following materials from Asure Software, Inc.’s Quarterly Report on Form 10-Q for the quarter ended March 31, 2015,</w:t>
            </w:r>
          </w:p>
        </w:tc>
      </w:tr>
    </w:tbl>
    <w:p>
      <w:pPr>
        <w:jc w:val="both"/>
        <w:ind w:left="2080" w:right="40"/>
        <w:spacing w:after="0" w:line="255" w:lineRule="auto"/>
        <w:rPr>
          <w:sz w:val="20"/>
          <w:szCs w:val="20"/>
          <w:color w:val="auto"/>
        </w:rPr>
      </w:pPr>
      <w:r>
        <w:rPr>
          <w:rFonts w:ascii="Arial" w:cs="Arial" w:eastAsia="Arial" w:hAnsi="Arial"/>
          <w:sz w:val="18"/>
          <w:szCs w:val="18"/>
          <w:color w:val="auto"/>
        </w:rPr>
        <w:t>formatted in XBRL (Extensible Business Reporting Language): (1) the Condensed Consolidated Balance Sheets, (2) the Condensed Consolidated Statements of Comprehensive Loss, (3) the Condensed Consolidated Statements of Cash Flows, and (4) Notes to Condensed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3" w:name="page24"/>
    <w:bookmarkEnd w:id="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Patrick Goepel, certify, that:</w:t>
      </w:r>
    </w:p>
    <w:p>
      <w:pPr>
        <w:spacing w:after="0" w:line="225" w:lineRule="exact"/>
        <w:rPr>
          <w:sz w:val="20"/>
          <w:szCs w:val="20"/>
          <w:color w:val="auto"/>
        </w:rPr>
      </w:pPr>
    </w:p>
    <w:p>
      <w:pPr>
        <w:ind w:left="520" w:hanging="188"/>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March 31, 2015)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3660" w:val="left"/>
          <w:tab w:leader="none" w:pos="4700" w:val="left"/>
        </w:tabs>
        <w:rPr>
          <w:sz w:val="20"/>
          <w:szCs w:val="20"/>
          <w:color w:val="auto"/>
        </w:rPr>
      </w:pPr>
      <w:r>
        <w:rPr>
          <w:rFonts w:ascii="Arial" w:cs="Arial" w:eastAsia="Arial" w:hAnsi="Arial"/>
          <w:sz w:val="18"/>
          <w:szCs w:val="18"/>
          <w:color w:val="auto"/>
        </w:rPr>
        <w:t>Date: May 13,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14605</wp:posOffset>
            </wp:positionV>
            <wp:extent cx="23323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32355" cy="1714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Brad Wolfe, certify that:</w:t>
      </w:r>
    </w:p>
    <w:p>
      <w:pPr>
        <w:spacing w:after="0" w:line="225" w:lineRule="exact"/>
        <w:rPr>
          <w:sz w:val="20"/>
          <w:szCs w:val="20"/>
          <w:color w:val="auto"/>
        </w:rPr>
      </w:pPr>
    </w:p>
    <w:p>
      <w:pPr>
        <w:ind w:left="520" w:hanging="188"/>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March 31, 2015)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3740" w:val="left"/>
          <w:tab w:leader="none" w:pos="4900" w:val="left"/>
        </w:tabs>
        <w:rPr>
          <w:sz w:val="20"/>
          <w:szCs w:val="20"/>
          <w:color w:val="auto"/>
        </w:rPr>
      </w:pPr>
      <w:r>
        <w:rPr>
          <w:rFonts w:ascii="Arial" w:cs="Arial" w:eastAsia="Arial" w:hAnsi="Arial"/>
          <w:sz w:val="18"/>
          <w:szCs w:val="18"/>
          <w:color w:val="auto"/>
        </w:rPr>
        <w:t>Date: May 13,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306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Brad Wolfe</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Patrick Goepel, do hereby certify, pursuant to 18 U.S.C. Section 1350, as adopted by Section 906 of the Sarbanes-Oxley Act of 2002, that:</w:t>
      </w:r>
    </w:p>
    <w:p>
      <w:pPr>
        <w:spacing w:after="0" w:line="248" w:lineRule="exact"/>
        <w:rPr>
          <w:sz w:val="20"/>
          <w:szCs w:val="20"/>
          <w:color w:val="auto"/>
        </w:rPr>
      </w:pPr>
    </w:p>
    <w:p>
      <w:pPr>
        <w:ind w:firstLine="332"/>
        <w:spacing w:after="0" w:line="277" w:lineRule="auto"/>
        <w:tabs>
          <w:tab w:leader="none" w:pos="52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2015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4060" w:val="left"/>
          <w:tab w:leader="none" w:pos="5100" w:val="left"/>
        </w:tabs>
        <w:rPr>
          <w:sz w:val="20"/>
          <w:szCs w:val="20"/>
          <w:color w:val="auto"/>
        </w:rPr>
      </w:pPr>
      <w:r>
        <w:rPr>
          <w:rFonts w:ascii="Arial" w:cs="Arial" w:eastAsia="Arial" w:hAnsi="Arial"/>
          <w:sz w:val="18"/>
          <w:szCs w:val="18"/>
          <w:color w:val="auto"/>
        </w:rPr>
        <w:t>Date: May 13,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14605</wp:posOffset>
            </wp:positionV>
            <wp:extent cx="216979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Brad Wolfe, do hereby certify, pursuant to 18 U.S.C. Section 1350, as adopted by Section 906 of the Sarbanes-Oxley Act of 2002, that:</w:t>
      </w:r>
    </w:p>
    <w:p>
      <w:pPr>
        <w:spacing w:after="0" w:line="248" w:lineRule="exact"/>
        <w:rPr>
          <w:sz w:val="20"/>
          <w:szCs w:val="20"/>
          <w:color w:val="auto"/>
        </w:rPr>
      </w:pPr>
    </w:p>
    <w:p>
      <w:pPr>
        <w:ind w:firstLine="332"/>
        <w:spacing w:after="0" w:line="277" w:lineRule="auto"/>
        <w:tabs>
          <w:tab w:leader="none" w:pos="52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2015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3740" w:val="left"/>
          <w:tab w:leader="none" w:pos="4900" w:val="left"/>
        </w:tabs>
        <w:rPr>
          <w:sz w:val="20"/>
          <w:szCs w:val="20"/>
          <w:color w:val="auto"/>
        </w:rPr>
      </w:pPr>
      <w:r>
        <w:rPr>
          <w:rFonts w:ascii="Arial" w:cs="Arial" w:eastAsia="Arial" w:hAnsi="Arial"/>
          <w:sz w:val="18"/>
          <w:szCs w:val="18"/>
          <w:color w:val="auto"/>
        </w:rPr>
        <w:t>Date: May 13,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306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Brad Wolfe</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1)"/>
      <w:numFmt w:val="lowerRoman"/>
      <w:start w:val="2"/>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2019-12-29T17:28:26Z</dcterms:created>
  <dcterms:modified xsi:type="dcterms:W3CDTF">2019-12-29T17:28:26Z</dcterms:modified>
</cp:coreProperties>
</file>