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6.4.0 -->
  <w:body>
    <w:p w:rsidR="00A77B3E">
      <w:pPr>
        <w:keepNext w:val="0"/>
        <w:keepLines/>
        <w:pageBreakBefore w:val="0"/>
        <w:widowControl w:val="0"/>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0" w:name="Section1"/>
      <w:bookmarkEnd w:id="0"/>
      <w:r>
        <w:rPr>
          <w:rFonts w:ascii="Times New Roman" w:eastAsia="Times New Roman" w:hAnsi="Times New Roman" w:cs="Times New Roman"/>
          <w:b/>
          <w:i w:val="0"/>
          <w:sz w:val="20"/>
        </w:rPr>
        <w:t>UNITED STATES</w:t>
      </w:r>
    </w:p>
    <w:p w:rsidR="00A77B3E">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SECURITIES AND EXCHANGE COMMISSION</w:t>
      </w:r>
    </w:p>
    <w:p w:rsidR="00A77B3E">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WASHINGTON, D.C. 20549</w:t>
      </w:r>
    </w:p>
    <w:p w:rsidR="00A77B3E">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rsidR="00A77B3E">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 xml:space="preserve">FORM </w:t>
      </w:r>
      <w:r>
        <w:rPr>
          <w:rFonts w:ascii="Times New Roman" w:eastAsia="Times New Roman" w:hAnsi="Times New Roman" w:cs="Times New Roman"/>
          <w:b/>
          <w:i w:val="0"/>
          <w:color w:val="000000"/>
          <w:sz w:val="20"/>
          <w:u w:val="none"/>
        </w:rPr>
        <w:t>10-Q</w:t>
      </w:r>
    </w:p>
    <w:p w:rsidR="00A77B3E">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tbl>
      <w:tblPr>
        <w:tblStyle w:val="TableNormal0"/>
        <w:tblW w:w="11520" w:type="dxa"/>
        <w:jc w:val="left"/>
        <w:tblInd w:w="0" w:type="dxa"/>
        <w:tblLayout w:type="fixed"/>
      </w:tblPr>
      <w:tblGrid>
        <w:gridCol w:w="405"/>
        <w:gridCol w:w="11115"/>
      </w:tblGrid>
      <w:tr>
        <w:tblPrEx>
          <w:tblW w:w="11520" w:type="dxa"/>
          <w:tblInd w:w="0" w:type="dxa"/>
          <w:tblLayout w:type="fixed"/>
        </w:tblPrEx>
        <w:trPr>
          <w:trHeight w:hRule="exact" w:val="480"/>
        </w:trPr>
        <w:tc>
          <w:tcPr>
            <w:tcW w:w="4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11115" w:type="dxa"/>
            <w:tcBorders>
              <w:top w:val="nil"/>
              <w:left w:val="nil"/>
              <w:bottom w:val="nil"/>
              <w:right w:val="nil"/>
            </w:tcBorders>
            <w:tcMar>
              <w:top w:w="0" w:type="dxa"/>
              <w:left w:w="53" w:type="dxa"/>
              <w:bottom w:w="0" w:type="dxa"/>
              <w:right w:w="53" w:type="dxa"/>
            </w:tcMar>
            <w:vAlign w:val="top"/>
          </w:tcPr>
          <w:p>
            <w:pPr>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Quarterly Report Pursuant to Section 13 or 15(d) of the Securities Exchange Act of 1934 for the quarterly period ended </w:t>
            </w:r>
            <w:r>
              <w:rPr>
                <w:rFonts w:ascii="Times New Roman" w:eastAsia="Times New Roman" w:hAnsi="Times New Roman" w:cs="Times New Roman"/>
                <w:b w:val="0"/>
                <w:i w:val="0"/>
                <w:color w:val="000000"/>
                <w:sz w:val="20"/>
                <w:u w:val="none"/>
              </w:rPr>
              <w:t>September 30, 2026</w:t>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10"/>
        </w:rPr>
      </w:pPr>
    </w:p>
    <w:tbl>
      <w:tblPr>
        <w:tblStyle w:val="TableNormal0"/>
        <w:tblW w:w="11520" w:type="dxa"/>
        <w:jc w:val="left"/>
        <w:tblInd w:w="0" w:type="dxa"/>
        <w:tblLayout w:type="fixed"/>
      </w:tblPr>
      <w:tblGrid>
        <w:gridCol w:w="405"/>
        <w:gridCol w:w="11115"/>
      </w:tblGrid>
      <w:tr>
        <w:tblPrEx>
          <w:tblW w:w="11520" w:type="dxa"/>
          <w:tblInd w:w="0" w:type="dxa"/>
          <w:tblLayout w:type="fixed"/>
        </w:tblPrEx>
        <w:trPr>
          <w:trHeight w:hRule="exact" w:val="285"/>
        </w:trPr>
        <w:tc>
          <w:tcPr>
            <w:tcW w:w="4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1111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Transition Report Pursuant to Section 13 or 15(d) of the Securities Exchange Act of 1934 for the transition period from __ to __</w:t>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0"/>
        </w:rPr>
      </w:pPr>
    </w:p>
    <w:tbl>
      <w:tblPr>
        <w:tblStyle w:val="TableNormal0"/>
        <w:tblW w:w="11520" w:type="dxa"/>
        <w:jc w:val="center"/>
        <w:tblLayout w:type="fixed"/>
      </w:tblPr>
      <w:tblGrid>
        <w:gridCol w:w="11520"/>
      </w:tblGrid>
      <w:tr>
        <w:tblPrEx>
          <w:tblW w:w="11520" w:type="dxa"/>
          <w:tblLayout w:type="fixed"/>
        </w:tblPrEx>
        <w:trPr>
          <w:trHeight w:hRule="exact" w:val="285"/>
        </w:trPr>
        <w:tc>
          <w:tcPr>
            <w:tcW w:w="11520" w:type="dxa"/>
            <w:tcBorders>
              <w:top w:val="nil"/>
              <w:left w:val="nil"/>
              <w:bottom w:val="nil"/>
              <w:right w:val="nil"/>
            </w:tcBorders>
            <w:tcMar>
              <w:top w:w="0" w:type="dxa"/>
              <w:left w:w="53" w:type="dxa"/>
              <w:bottom w:w="0" w:type="dxa"/>
              <w:right w:w="53" w:type="dxa"/>
            </w:tcMar>
            <w:vAlign w:val="top"/>
          </w:tcPr>
          <w:p>
            <w:pPr>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Commission File Number: </w:t>
            </w:r>
            <w:r>
              <w:rPr>
                <w:rFonts w:ascii="Times New Roman" w:eastAsia="Times New Roman" w:hAnsi="Times New Roman" w:cs="Times New Roman"/>
                <w:b w:val="0"/>
                <w:i w:val="0"/>
                <w:color w:val="000000"/>
                <w:sz w:val="20"/>
                <w:u w:val="none"/>
              </w:rPr>
              <w:t>1-34522</w:t>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75pt;height:40.5pt">
            <v:imagedata r:id="rId4" o:title=""/>
            <o:lock v:ext="edit" aspectratio="t"/>
          </v:shape>
        </w:pic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single"/>
        </w:rPr>
        <w:t>ASURE SOFTWARE, INC.</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(Exact name of registrant as specified in its charter)</w:t>
      </w:r>
    </w:p>
    <w:tbl>
      <w:tblPr>
        <w:tblStyle w:val="TableNormal0"/>
        <w:tblW w:w="11520" w:type="dxa"/>
        <w:jc w:val="center"/>
        <w:tblLayout w:type="fixed"/>
      </w:tblPr>
      <w:tblGrid>
        <w:gridCol w:w="4485"/>
        <w:gridCol w:w="105"/>
        <w:gridCol w:w="2340"/>
        <w:gridCol w:w="105"/>
        <w:gridCol w:w="4485"/>
      </w:tblGrid>
      <w:tr>
        <w:tblPrEx>
          <w:tblW w:w="11520" w:type="dxa"/>
          <w:tblLayout w:type="fixed"/>
        </w:tblPrEx>
        <w:trPr>
          <w:trHeight w:hRule="exact" w:val="315"/>
        </w:trPr>
        <w:tc>
          <w:tcPr>
            <w:tcW w:w="448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Delaware</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48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74-2415696</w:t>
            </w:r>
          </w:p>
        </w:tc>
      </w:tr>
      <w:tr>
        <w:tblPrEx>
          <w:tblW w:w="11520" w:type="dxa"/>
          <w:tblLayout w:type="fixed"/>
        </w:tblPrEx>
        <w:trPr>
          <w:trHeight w:hRule="exact" w:val="315"/>
        </w:trPr>
        <w:tc>
          <w:tcPr>
            <w:tcW w:w="4485"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center"/>
            </w:pPr>
            <w:r>
              <w:rPr>
                <w:rFonts w:ascii="Times New Roman" w:eastAsia="Times New Roman" w:hAnsi="Times New Roman" w:cs="Times New Roman"/>
                <w:b w:val="0"/>
                <w:i w:val="0"/>
                <w:color w:val="000000"/>
                <w:sz w:val="20"/>
                <w:u w:val="none"/>
              </w:rPr>
              <w:t>(State or other jurisdiction of incorporation)</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485"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center"/>
            </w:pPr>
            <w:r>
              <w:rPr>
                <w:rFonts w:ascii="Times New Roman" w:eastAsia="Times New Roman" w:hAnsi="Times New Roman" w:cs="Times New Roman"/>
                <w:b w:val="0"/>
                <w:i w:val="0"/>
                <w:color w:val="000000"/>
                <w:sz w:val="20"/>
                <w:u w:val="none"/>
              </w:rPr>
              <w:t>(I.R.S. Employer Identification No.)</w:t>
            </w:r>
          </w:p>
        </w:tc>
      </w:tr>
      <w:tr>
        <w:tblPrEx>
          <w:tblW w:w="11520" w:type="dxa"/>
          <w:tblLayout w:type="fixed"/>
        </w:tblPrEx>
        <w:trPr>
          <w:trHeight w:hRule="exact" w:val="315"/>
        </w:trPr>
        <w:tc>
          <w:tcPr>
            <w:tcW w:w="448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48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1520" w:type="dxa"/>
          <w:tblLayout w:type="fixed"/>
        </w:tblPrEx>
        <w:trPr>
          <w:trHeight w:hRule="exact" w:val="315"/>
        </w:trPr>
        <w:tc>
          <w:tcPr>
            <w:tcW w:w="4485" w:type="dxa"/>
            <w:tcBorders>
              <w:top w:val="nil"/>
              <w:left w:val="nil"/>
              <w:bottom w:val="single" w:sz="8" w:space="0" w:color="000000"/>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color w:val="000000"/>
                <w:sz w:val="20"/>
                <w:u w:val="none"/>
              </w:rPr>
              <w:t>405 Colorado Street, Suite 1800</w:t>
            </w:r>
            <w:r>
              <w:rPr>
                <w:rFonts w:ascii="Times New Roman" w:eastAsia="Times New Roman" w:hAnsi="Times New Roman" w:cs="Times New Roman"/>
                <w:b/>
                <w:i w:val="0"/>
                <w:sz w:val="20"/>
              </w:rPr>
              <w:t xml:space="preserve">, </w:t>
            </w:r>
            <w:r>
              <w:rPr>
                <w:rFonts w:ascii="Times New Roman" w:eastAsia="Times New Roman" w:hAnsi="Times New Roman" w:cs="Times New Roman"/>
                <w:b/>
                <w:i w:val="0"/>
                <w:color w:val="000000"/>
                <w:sz w:val="20"/>
                <w:u w:val="none"/>
              </w:rPr>
              <w:t>Austin</w:t>
            </w:r>
            <w:r>
              <w:rPr>
                <w:rFonts w:ascii="Times New Roman" w:eastAsia="Times New Roman" w:hAnsi="Times New Roman" w:cs="Times New Roman"/>
                <w:b/>
                <w:i w:val="0"/>
                <w:sz w:val="20"/>
              </w:rPr>
              <w:t xml:space="preserve">, </w:t>
            </w:r>
            <w:r>
              <w:rPr>
                <w:rFonts w:ascii="Times New Roman" w:eastAsia="Times New Roman" w:hAnsi="Times New Roman" w:cs="Times New Roman"/>
                <w:b/>
                <w:i w:val="0"/>
                <w:color w:val="000000"/>
                <w:sz w:val="20"/>
                <w:u w:val="none"/>
              </w:rPr>
              <w:t>Texas</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48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78701</w:t>
            </w:r>
          </w:p>
        </w:tc>
      </w:tr>
      <w:tr>
        <w:tblPrEx>
          <w:tblW w:w="11520" w:type="dxa"/>
          <w:tblLayout w:type="fixed"/>
        </w:tblPrEx>
        <w:trPr>
          <w:trHeight w:hRule="exact" w:val="315"/>
        </w:trPr>
        <w:tc>
          <w:tcPr>
            <w:tcW w:w="4485" w:type="dxa"/>
            <w:tcBorders>
              <w:top w:val="single" w:sz="8" w:space="0" w:color="000000"/>
              <w:left w:val="nil"/>
              <w:bottom w:val="nil"/>
              <w:right w:val="nil"/>
            </w:tcBorders>
            <w:tcMar>
              <w:top w:w="0" w:type="dxa"/>
              <w:left w:w="53" w:type="dxa"/>
              <w:bottom w:w="0" w:type="dxa"/>
              <w:right w:w="53" w:type="dxa"/>
            </w:tcMar>
            <w:vAlign w:val="top"/>
          </w:tcPr>
          <w:p>
            <w:pPr>
              <w:pageBreakBefore w:val="0"/>
              <w:spacing w:before="33" w:after="30" w:line="240" w:lineRule="auto"/>
              <w:jc w:val="center"/>
            </w:pPr>
            <w:r>
              <w:rPr>
                <w:rFonts w:ascii="Times New Roman" w:eastAsia="Times New Roman" w:hAnsi="Times New Roman" w:cs="Times New Roman"/>
                <w:b w:val="0"/>
                <w:i w:val="0"/>
                <w:color w:val="000000"/>
                <w:sz w:val="20"/>
                <w:u w:val="none"/>
              </w:rPr>
              <w:t>(Address of principal executive offices)</w:t>
            </w:r>
          </w:p>
        </w:tc>
        <w:tc>
          <w:tcPr>
            <w:tcW w:w="1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234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1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4485" w:type="dxa"/>
            <w:tcBorders>
              <w:top w:val="single" w:sz="8" w:space="0" w:color="000000"/>
              <w:left w:val="nil"/>
              <w:bottom w:val="nil"/>
              <w:right w:val="nil"/>
            </w:tcBorders>
            <w:tcMar>
              <w:top w:w="0" w:type="dxa"/>
              <w:left w:w="53" w:type="dxa"/>
              <w:bottom w:w="0" w:type="dxa"/>
              <w:right w:w="53" w:type="dxa"/>
            </w:tcMar>
            <w:vAlign w:val="top"/>
          </w:tcPr>
          <w:p>
            <w:pPr>
              <w:pageBreakBefore w:val="0"/>
              <w:spacing w:before="33" w:after="30" w:line="240" w:lineRule="auto"/>
              <w:jc w:val="center"/>
            </w:pPr>
            <w:r>
              <w:rPr>
                <w:rFonts w:ascii="Times New Roman" w:eastAsia="Times New Roman" w:hAnsi="Times New Roman" w:cs="Times New Roman"/>
                <w:b w:val="0"/>
                <w:i w:val="0"/>
                <w:color w:val="000000"/>
                <w:sz w:val="20"/>
                <w:u w:val="none"/>
              </w:rPr>
              <w:t>(Zip Code)</w:t>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10"/>
        </w:rPr>
      </w:pPr>
    </w:p>
    <w:tbl>
      <w:tblPr>
        <w:tblStyle w:val="TableNormal0"/>
        <w:tblW w:w="11520" w:type="dxa"/>
        <w:jc w:val="center"/>
        <w:tblLayout w:type="fixed"/>
      </w:tblPr>
      <w:tblGrid>
        <w:gridCol w:w="11520"/>
      </w:tblGrid>
      <w:tr>
        <w:tblPrEx>
          <w:tblW w:w="11520" w:type="dxa"/>
          <w:tblLayout w:type="fixed"/>
        </w:tblPrEx>
        <w:trPr>
          <w:trHeight w:hRule="exact" w:val="315"/>
        </w:trPr>
        <w:tc>
          <w:tcPr>
            <w:tcW w:w="11520"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color w:val="000000"/>
                <w:sz w:val="20"/>
                <w:u w:val="none"/>
              </w:rPr>
              <w:t>512</w:t>
            </w:r>
            <w:r>
              <w:rPr>
                <w:rFonts w:ascii="Times New Roman" w:eastAsia="Times New Roman" w:hAnsi="Times New Roman" w:cs="Times New Roman"/>
                <w:b/>
                <w:i w:val="0"/>
                <w:sz w:val="20"/>
              </w:rPr>
              <w:t>-</w:t>
            </w:r>
            <w:r>
              <w:rPr>
                <w:rFonts w:ascii="Times New Roman" w:eastAsia="Times New Roman" w:hAnsi="Times New Roman" w:cs="Times New Roman"/>
                <w:b/>
                <w:i w:val="0"/>
                <w:color w:val="000000"/>
                <w:sz w:val="20"/>
                <w:u w:val="none"/>
              </w:rPr>
              <w:t>437-2700</w:t>
            </w:r>
          </w:p>
        </w:tc>
      </w:tr>
      <w:tr>
        <w:tblPrEx>
          <w:tblW w:w="11520" w:type="dxa"/>
          <w:tblLayout w:type="fixed"/>
        </w:tblPrEx>
        <w:trPr>
          <w:trHeight w:hRule="exact" w:val="315"/>
        </w:trPr>
        <w:tc>
          <w:tcPr>
            <w:tcW w:w="11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(Registrant’s Telephone Number, including Area Code)</w:t>
            </w:r>
          </w:p>
        </w:tc>
      </w:tr>
      <w:tr>
        <w:tblPrEx>
          <w:tblW w:w="11520" w:type="dxa"/>
          <w:tblLayout w:type="fixed"/>
        </w:tblPrEx>
        <w:trPr>
          <w:trHeight w:hRule="exact" w:val="465"/>
        </w:trPr>
        <w:tc>
          <w:tcPr>
            <w:tcW w:w="115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None</w:t>
            </w:r>
          </w:p>
        </w:tc>
      </w:tr>
      <w:tr>
        <w:tblPrEx>
          <w:tblW w:w="11520" w:type="dxa"/>
          <w:tblLayout w:type="fixed"/>
        </w:tblPrEx>
        <w:trPr>
          <w:trHeight w:hRule="exact" w:val="315"/>
        </w:trPr>
        <w:tc>
          <w:tcPr>
            <w:tcW w:w="1152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Times New Roman" w:eastAsia="Times New Roman" w:hAnsi="Times New Roman" w:cs="Times New Roman"/>
                <w:b w:val="0"/>
                <w:i w:val="0"/>
                <w:color w:val="000000"/>
                <w:sz w:val="20"/>
                <w:u w:val="none"/>
              </w:rPr>
              <w:t>(Former name, former address and former fiscal year, if changed since last report)</w:t>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Securities registered pursuant to Section 12(b) of the Act: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tbl>
      <w:tblPr>
        <w:tblStyle w:val="TableNormal0"/>
        <w:tblW w:w="11520" w:type="dxa"/>
        <w:jc w:val="left"/>
        <w:tblInd w:w="0" w:type="dxa"/>
        <w:tblLayout w:type="fixed"/>
      </w:tblPr>
      <w:tblGrid>
        <w:gridCol w:w="4485"/>
        <w:gridCol w:w="105"/>
        <w:gridCol w:w="2340"/>
        <w:gridCol w:w="105"/>
        <w:gridCol w:w="4485"/>
      </w:tblGrid>
      <w:tr>
        <w:tblPrEx>
          <w:tblW w:w="11520" w:type="dxa"/>
          <w:tblInd w:w="0" w:type="dxa"/>
          <w:tblLayout w:type="fixed"/>
        </w:tblPrEx>
        <w:trPr>
          <w:trHeight w:hRule="exact" w:val="315"/>
        </w:trPr>
        <w:tc>
          <w:tcPr>
            <w:tcW w:w="448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Title of each class</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40"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Trading Symbol(s)</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48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Name of each exchange on which registered</w:t>
            </w:r>
          </w:p>
        </w:tc>
      </w:tr>
      <w:tr>
        <w:tblPrEx>
          <w:tblW w:w="11520" w:type="dxa"/>
          <w:tblInd w:w="0" w:type="dxa"/>
          <w:tblLayout w:type="fixed"/>
        </w:tblPrEx>
        <w:trPr>
          <w:trHeight w:hRule="exact" w:val="315"/>
        </w:trPr>
        <w:tc>
          <w:tcPr>
            <w:tcW w:w="4485"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Common Stock, $0.01 par value</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40"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ASUR</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485" w:type="dxa"/>
            <w:tcBorders>
              <w:top w:val="single" w:sz="8" w:space="0" w:color="000000"/>
              <w:left w:val="nil"/>
              <w:bottom w:val="nil"/>
              <w:right w:val="nil"/>
            </w:tcBorders>
            <w:tcMar>
              <w:top w:w="0" w:type="dxa"/>
              <w:left w:w="53" w:type="dxa"/>
              <w:bottom w:w="0" w:type="dxa"/>
              <w:right w:w="53" w:type="dxa"/>
            </w:tcMar>
            <w:vAlign w:val="top"/>
          </w:tcPr>
          <w:p>
            <w:pPr>
              <w:keepNext/>
              <w:pageBreakBefore w:val="0"/>
              <w:numPr>
                <w:ilvl w:val="0"/>
                <w:numId w:val="0"/>
              </w:numPr>
              <w:spacing w:before="33" w:after="3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 xml:space="preserve">The </w:t>
            </w:r>
            <w:r>
              <w:rPr>
                <w:rFonts w:ascii="Times New Roman" w:eastAsia="Times New Roman" w:hAnsi="Times New Roman" w:cs="Times New Roman"/>
                <w:b/>
                <w:i w:val="0"/>
                <w:color w:val="000000"/>
                <w:sz w:val="20"/>
                <w:u w:val="none"/>
              </w:rPr>
              <w:t>Nasdaq</w:t>
            </w:r>
            <w:r>
              <w:rPr>
                <w:rFonts w:ascii="Times New Roman" w:eastAsia="Times New Roman" w:hAnsi="Times New Roman" w:cs="Times New Roman"/>
                <w:b/>
                <w:i w:val="0"/>
                <w:sz w:val="20"/>
              </w:rPr>
              <w:t xml:space="preserve"> Capital Market</w:t>
            </w:r>
          </w:p>
        </w:tc>
      </w:tr>
      <w:tr>
        <w:tblPrEx>
          <w:tblW w:w="11520" w:type="dxa"/>
          <w:tblInd w:w="0" w:type="dxa"/>
          <w:tblLayout w:type="fixed"/>
        </w:tblPrEx>
        <w:trPr>
          <w:trHeight w:hRule="exact" w:val="465"/>
        </w:trPr>
        <w:tc>
          <w:tcPr>
            <w:tcW w:w="448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Times New Roman" w:eastAsia="Times New Roman" w:hAnsi="Times New Roman" w:cs="Times New Roman"/>
                <w:b/>
                <w:i w:val="0"/>
                <w:color w:val="000000"/>
                <w:sz w:val="20"/>
                <w:u w:val="none"/>
              </w:rPr>
              <w:t>Series A Junior Participating Preferred Share Purchase Rights</w:t>
            </w:r>
          </w:p>
        </w:tc>
        <w:tc>
          <w:tcPr>
            <w:tcW w:w="1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234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p>
        </w:tc>
        <w:tc>
          <w:tcPr>
            <w:tcW w:w="1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448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Times New Roman" w:eastAsia="Times New Roman" w:hAnsi="Times New Roman" w:cs="Times New Roman"/>
                <w:b/>
                <w:i w:val="0"/>
                <w:color w:val="000000"/>
                <w:sz w:val="20"/>
                <w:u w:val="none"/>
              </w:rPr>
              <w:t>N/A</w:t>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tbl>
      <w:tblPr>
        <w:tblStyle w:val="TableNormal0"/>
        <w:tblW w:w="11520" w:type="dxa"/>
        <w:tblInd w:w="0" w:type="dxa"/>
        <w:tblLayout w:type="fixed"/>
      </w:tblPr>
      <w:tblGrid>
        <w:gridCol w:w="9360"/>
        <w:gridCol w:w="360"/>
        <w:gridCol w:w="720"/>
        <w:gridCol w:w="360"/>
        <w:gridCol w:w="720"/>
      </w:tblGrid>
      <w:tr>
        <w:tblPrEx>
          <w:tblW w:w="11520" w:type="dxa"/>
          <w:tblInd w:w="0" w:type="dxa"/>
          <w:tblLayout w:type="fixed"/>
        </w:tblPrEx>
        <w:trPr>
          <w:trHeight w:hRule="exact" w:val="315"/>
        </w:trPr>
        <w:tc>
          <w:tcPr>
            <w:tcW w:w="11520" w:type="dxa"/>
            <w:gridSpan w:val="5"/>
            <w:vMerge w:val="restart"/>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Indicate by check mark whether the registrant (1) has filed all reports required to be filed by Section 13 or 15(d) of the Securities Exchange Act of 1934 during the preceding 12 months (or for such shorter period that the registrant was required to file such reports), and (2) has been subject to such filing requirements for the past 90 days. </w:t>
            </w:r>
          </w:p>
        </w:tc>
      </w:tr>
      <w:tr>
        <w:tblPrEx>
          <w:tblW w:w="11520" w:type="dxa"/>
          <w:tblInd w:w="0" w:type="dxa"/>
          <w:tblLayout w:type="fixed"/>
        </w:tblPrEx>
        <w:trPr>
          <w:trHeight w:hRule="exact" w:val="315"/>
        </w:trPr>
        <w:tc>
          <w:tcPr>
            <w:tcW w:w="11520" w:type="dxa"/>
            <w:gridSpan w:val="5"/>
            <w:vMerge/>
            <w:tcBorders>
              <w:top w:val="nil"/>
              <w:left w:val="nil"/>
              <w:bottom w:val="nil"/>
              <w:right w:val="nil"/>
            </w:tcBorders>
          </w:tcPr>
          <w:p>
            <w:pPr>
              <w:keepNext/>
              <w:pageBreakBefore w:val="0"/>
            </w:pPr>
          </w:p>
        </w:tc>
      </w:tr>
      <w:tr>
        <w:tblPrEx>
          <w:tblW w:w="11520" w:type="dxa"/>
          <w:tblInd w:w="0" w:type="dxa"/>
          <w:tblLayout w:type="fixed"/>
        </w:tblPrEx>
        <w:trPr>
          <w:trHeight w:hRule="exact" w:val="315"/>
        </w:trPr>
        <w:tc>
          <w:tcPr>
            <w:tcW w:w="93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Yes</w:t>
            </w: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w:t>
            </w:r>
          </w:p>
        </w:tc>
      </w:tr>
      <w:tr>
        <w:tblPrEx>
          <w:tblW w:w="11520" w:type="dxa"/>
          <w:tblInd w:w="0" w:type="dxa"/>
          <w:tblLayout w:type="fixed"/>
        </w:tblPrEx>
        <w:trPr>
          <w:trHeight w:hRule="exact" w:val="315"/>
        </w:trPr>
        <w:tc>
          <w:tcPr>
            <w:tcW w:w="11520" w:type="dxa"/>
            <w:gridSpan w:val="5"/>
            <w:vMerge w:val="restart"/>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Indicate by check mark whether the registrant has submitted electronically every Interactive Data File required to be submitted pursuant to Rule 405 of Regulation S-T (§232.405 of this chapter) during the preceding 12 months (or for such shorter period that the registrant was required to submit such files). </w:t>
            </w:r>
          </w:p>
        </w:tc>
      </w:tr>
      <w:tr>
        <w:tblPrEx>
          <w:tblW w:w="11520" w:type="dxa"/>
          <w:tblInd w:w="0" w:type="dxa"/>
          <w:tblLayout w:type="fixed"/>
        </w:tblPrEx>
        <w:trPr>
          <w:trHeight w:hRule="exact" w:val="315"/>
        </w:trPr>
        <w:tc>
          <w:tcPr>
            <w:tcW w:w="11520" w:type="dxa"/>
            <w:gridSpan w:val="5"/>
            <w:vMerge/>
            <w:tcBorders>
              <w:top w:val="nil"/>
              <w:left w:val="nil"/>
              <w:bottom w:val="nil"/>
              <w:right w:val="nil"/>
            </w:tcBorders>
          </w:tcPr>
          <w:p>
            <w:pPr>
              <w:keepNext/>
              <w:pageBreakBefore w:val="0"/>
            </w:pPr>
          </w:p>
        </w:tc>
      </w:tr>
      <w:tr>
        <w:tblPrEx>
          <w:tblW w:w="11520" w:type="dxa"/>
          <w:tblInd w:w="0" w:type="dxa"/>
          <w:tblLayout w:type="fixed"/>
        </w:tblPrEx>
        <w:trPr>
          <w:trHeight w:hRule="exact" w:val="315"/>
        </w:trPr>
        <w:tc>
          <w:tcPr>
            <w:tcW w:w="936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6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Yes</w:t>
            </w:r>
          </w:p>
        </w:tc>
        <w:tc>
          <w:tcPr>
            <w:tcW w:w="36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No</w:t>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10"/>
        </w:rPr>
      </w:pPr>
    </w:p>
    <w:tbl>
      <w:tblPr>
        <w:tblStyle w:val="TableNormal0"/>
        <w:tblW w:w="11520" w:type="dxa"/>
        <w:tblInd w:w="0" w:type="dxa"/>
        <w:tblLayout w:type="fixed"/>
      </w:tblPr>
      <w:tblGrid>
        <w:gridCol w:w="2295"/>
        <w:gridCol w:w="360"/>
        <w:gridCol w:w="3105"/>
        <w:gridCol w:w="2295"/>
        <w:gridCol w:w="360"/>
        <w:gridCol w:w="3105"/>
      </w:tblGrid>
      <w:tr>
        <w:tblPrEx>
          <w:tblW w:w="11520" w:type="dxa"/>
          <w:tblInd w:w="0" w:type="dxa"/>
          <w:tblLayout w:type="fixed"/>
        </w:tblPrEx>
        <w:trPr>
          <w:trHeight w:hRule="exact" w:val="315"/>
        </w:trPr>
        <w:tc>
          <w:tcPr>
            <w:tcW w:w="11520" w:type="dxa"/>
            <w:gridSpan w:val="6"/>
            <w:vMerge w:val="restart"/>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Indicate by check mark whether the registrant is a large accelerated filer, an accelerated filer, a non-accelerated filer, a smaller reporting company, or an emerging growth company. See the definitions of “large accelerated filer,” “accelerated filer,” “smaller reporting company,” and “emerging growth company” in Rule 12b-2 of the Exchange Act.</w:t>
            </w:r>
          </w:p>
        </w:tc>
      </w:tr>
      <w:tr>
        <w:tblPrEx>
          <w:tblW w:w="11520" w:type="dxa"/>
          <w:tblInd w:w="0" w:type="dxa"/>
          <w:tblLayout w:type="fixed"/>
        </w:tblPrEx>
        <w:trPr>
          <w:trHeight w:hRule="exact" w:val="315"/>
        </w:trPr>
        <w:tc>
          <w:tcPr>
            <w:tcW w:w="11520" w:type="dxa"/>
            <w:gridSpan w:val="6"/>
            <w:vMerge/>
            <w:tcBorders>
              <w:top w:val="nil"/>
              <w:left w:val="nil"/>
              <w:bottom w:val="nil"/>
              <w:right w:val="nil"/>
            </w:tcBorders>
          </w:tcPr>
          <w:p>
            <w:pPr>
              <w:keepNext/>
              <w:pageBreakBefore w:val="0"/>
            </w:pPr>
          </w:p>
        </w:tc>
      </w:tr>
      <w:tr>
        <w:tblPrEx>
          <w:tblW w:w="11520" w:type="dxa"/>
          <w:tblInd w:w="0" w:type="dxa"/>
          <w:tblLayout w:type="fixed"/>
        </w:tblPrEx>
        <w:trPr>
          <w:trHeight w:hRule="exact" w:val="315"/>
        </w:trPr>
        <w:tc>
          <w:tcPr>
            <w:tcW w:w="22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Large accelerated filer</w:t>
            </w: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3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2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Accelerated filer</w:t>
            </w: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31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Wingdings" w:eastAsia="Wingdings" w:hAnsi="Wingdings" w:cs="Wingdings"/>
              </w:rPr>
            </w:pPr>
          </w:p>
        </w:tc>
      </w:tr>
      <w:tr>
        <w:tblPrEx>
          <w:tblW w:w="11520" w:type="dxa"/>
          <w:tblInd w:w="0" w:type="dxa"/>
          <w:tblLayout w:type="fixed"/>
        </w:tblPrEx>
        <w:trPr>
          <w:trHeight w:hRule="exact" w:val="315"/>
        </w:trPr>
        <w:tc>
          <w:tcPr>
            <w:tcW w:w="22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Non-accelerated filer</w:t>
            </w: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3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29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Smaller reporting company</w:t>
            </w: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31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Wingdings" w:eastAsia="Wingdings" w:hAnsi="Wingdings" w:cs="Wingdings"/>
                <w:sz w:val="20"/>
              </w:rPr>
            </w:pPr>
          </w:p>
        </w:tc>
      </w:tr>
      <w:tr>
        <w:tblPrEx>
          <w:tblW w:w="11520" w:type="dxa"/>
          <w:tblInd w:w="0" w:type="dxa"/>
          <w:tblLayout w:type="fixed"/>
        </w:tblPrEx>
        <w:trPr>
          <w:trHeight w:hRule="exact" w:val="315"/>
        </w:trPr>
        <w:tc>
          <w:tcPr>
            <w:tcW w:w="22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6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1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229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Emerging growth company</w:t>
            </w:r>
          </w:p>
        </w:tc>
        <w:tc>
          <w:tcPr>
            <w:tcW w:w="36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31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10"/>
        </w:rPr>
      </w:pPr>
    </w:p>
    <w:tbl>
      <w:tblPr>
        <w:tblStyle w:val="TableNormal0"/>
        <w:tblW w:w="11520" w:type="dxa"/>
        <w:tblInd w:w="0" w:type="dxa"/>
        <w:tblLayout w:type="fixed"/>
      </w:tblPr>
      <w:tblGrid>
        <w:gridCol w:w="9360"/>
        <w:gridCol w:w="360"/>
        <w:gridCol w:w="720"/>
        <w:gridCol w:w="360"/>
        <w:gridCol w:w="720"/>
      </w:tblGrid>
      <w:tr>
        <w:tblPrEx>
          <w:tblW w:w="11520" w:type="dxa"/>
          <w:tblInd w:w="0" w:type="dxa"/>
          <w:tblLayout w:type="fixed"/>
        </w:tblPrEx>
        <w:trPr>
          <w:trHeight w:hRule="exact" w:val="315"/>
        </w:trPr>
        <w:tc>
          <w:tcPr>
            <w:tcW w:w="11520" w:type="dxa"/>
            <w:gridSpan w:val="5"/>
            <w:vMerge w:val="restart"/>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If an emerging growth company, indicate by check mark if the registrant has elected not to use the extended transition period for complying with any new or revised financial accounting standards provided pursuant to Section 13(a) of the Exchange Act.</w:t>
            </w:r>
          </w:p>
        </w:tc>
      </w:tr>
      <w:tr>
        <w:tblPrEx>
          <w:tblW w:w="11520" w:type="dxa"/>
          <w:tblInd w:w="0" w:type="dxa"/>
          <w:tblLayout w:type="fixed"/>
        </w:tblPrEx>
        <w:trPr>
          <w:trHeight w:hRule="exact" w:val="315"/>
        </w:trPr>
        <w:tc>
          <w:tcPr>
            <w:tcW w:w="11520" w:type="dxa"/>
            <w:gridSpan w:val="5"/>
            <w:vMerge/>
            <w:tcBorders>
              <w:top w:val="nil"/>
              <w:left w:val="nil"/>
              <w:bottom w:val="nil"/>
              <w:right w:val="nil"/>
            </w:tcBorders>
          </w:tcPr>
          <w:p>
            <w:pPr>
              <w:keepNext/>
              <w:pageBreakBefore w:val="0"/>
            </w:pPr>
          </w:p>
        </w:tc>
      </w:tr>
      <w:tr>
        <w:tblPrEx>
          <w:tblW w:w="11520" w:type="dxa"/>
          <w:tblInd w:w="0" w:type="dxa"/>
          <w:tblLayout w:type="fixed"/>
        </w:tblPrEx>
        <w:trPr>
          <w:trHeight w:hRule="exact" w:val="315"/>
        </w:trPr>
        <w:tc>
          <w:tcPr>
            <w:tcW w:w="93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72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1520" w:type="dxa"/>
          <w:tblInd w:w="0" w:type="dxa"/>
          <w:tblLayout w:type="fixed"/>
        </w:tblPrEx>
        <w:trPr>
          <w:trHeight w:hRule="exact" w:val="315"/>
        </w:trPr>
        <w:tc>
          <w:tcPr>
            <w:tcW w:w="93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Indicate by check mark whether the registrant is a shell company (as defined in Rule 12b-2 of the Exchange Act).</w:t>
            </w:r>
          </w:p>
        </w:tc>
        <w:tc>
          <w:tcPr>
            <w:tcW w:w="3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72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72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1520" w:type="dxa"/>
          <w:tblInd w:w="0" w:type="dxa"/>
          <w:tblLayout w:type="fixed"/>
        </w:tblPrEx>
        <w:trPr>
          <w:trHeight w:hRule="exact" w:val="315"/>
        </w:trPr>
        <w:tc>
          <w:tcPr>
            <w:tcW w:w="936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6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Yes</w:t>
            </w:r>
          </w:p>
        </w:tc>
        <w:tc>
          <w:tcPr>
            <w:tcW w:w="36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Wingdings" w:eastAsia="Wingdings" w:hAnsi="Wingdings" w:cs="Wingdings"/>
                <w:b w:val="0"/>
                <w:i w:val="0"/>
                <w:color w:val="000000"/>
                <w:sz w:val="20"/>
                <w:u w:val="none"/>
              </w:rPr>
              <w:t>☒</w:t>
            </w:r>
          </w:p>
        </w:tc>
        <w:tc>
          <w:tcPr>
            <w:tcW w:w="72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No</w:t>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As of </w:t>
      </w:r>
      <w:r>
        <w:rPr>
          <w:rFonts w:ascii="Times New Roman" w:eastAsia="Times New Roman" w:hAnsi="Times New Roman" w:cs="Times New Roman"/>
          <w:b w:val="0"/>
          <w:i w:val="0"/>
          <w:color w:val="000000"/>
          <w:sz w:val="20"/>
          <w:u w:val="none"/>
        </w:rPr>
        <w:t>October 28, 2026</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30,169,748</w:t>
      </w:r>
      <w:r>
        <w:rPr>
          <w:rFonts w:ascii="Times New Roman" w:eastAsia="Times New Roman" w:hAnsi="Times New Roman" w:cs="Times New Roman"/>
          <w:b w:val="0"/>
          <w:i w:val="0"/>
          <w:sz w:val="20"/>
        </w:rPr>
        <w:t xml:space="preserve"> shares of the registrant’s Common Stock, $0.01 par value, were outstanding.</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sectPr>
          <w:headerReference w:type="default" r:id="rId5"/>
          <w:footerReference w:type="default" r:id="rId6"/>
          <w:headerReference w:type="first" r:id="rId7"/>
          <w:footerReference w:type="first" r:id="rId8"/>
          <w:type w:val="continuous"/>
          <w:pgSz w:w="12240" w:h="15840"/>
          <w:pgMar w:top="495" w:right="360" w:bottom="495" w:left="360" w:header="0" w:footer="0" w:gutter="0"/>
          <w:cols w:space="720"/>
          <w:titlePg/>
          <w:docGrid w:linePitch="360"/>
        </w:sectPr>
      </w:pPr>
    </w:p>
    <w:p>
      <w:pPr>
        <w:keepNext w:val="0"/>
        <w:keepLines/>
        <w:pageBreakBefore w:val="0"/>
        <w:widowControl w:val="0"/>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1" w:name="Section2"/>
      <w:bookmarkEnd w:id="1"/>
      <w:r>
        <w:rPr>
          <w:rFonts w:ascii="Times New Roman" w:eastAsia="Times New Roman" w:hAnsi="Times New Roman" w:cs="Times New Roman"/>
          <w:b/>
          <w:i w:val="0"/>
          <w:sz w:val="20"/>
        </w:rPr>
        <w:t>TABLE OF CONTENTS</w:t>
      </w:r>
    </w:p>
    <w:tbl>
      <w:tblPr>
        <w:tblStyle w:val="TableNormal0"/>
        <w:tblW w:w="10245" w:type="dxa"/>
        <w:jc w:val="left"/>
        <w:tblInd w:w="0" w:type="dxa"/>
        <w:tblLayout w:type="fixed"/>
      </w:tblPr>
      <w:tblGrid>
        <w:gridCol w:w="960"/>
        <w:gridCol w:w="8340"/>
        <w:gridCol w:w="945"/>
      </w:tblGrid>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Page</w:t>
            </w:r>
          </w:p>
        </w:tc>
      </w:tr>
      <w:tr>
        <w:tblPrEx>
          <w:tblW w:w="10245" w:type="dxa"/>
          <w:tblInd w:w="0" w:type="dxa"/>
          <w:tblLayout w:type="fixed"/>
        </w:tblPrEx>
        <w:trPr>
          <w:trHeight w:hRule="exact" w:val="285"/>
        </w:trPr>
        <w:tc>
          <w:tcPr>
            <w:tcW w:w="10245" w:type="dxa"/>
            <w:gridSpan w:val="3"/>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3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 w:history="1">
              <w:r>
                <w:rPr>
                  <w:rFonts w:ascii="Times New Roman" w:eastAsia="Times New Roman" w:hAnsi="Times New Roman" w:cs="Times New Roman"/>
                  <w:b/>
                  <w:i w:val="0"/>
                  <w:color w:val="000000"/>
                  <w:sz w:val="20"/>
                  <w:u w:val="none"/>
                  <w:shd w:val="clear" w:color="auto" w:fill="auto"/>
                </w:rPr>
                <w:t>PART I. FINANCIAL INFORMATION</w:t>
              </w:r>
            </w:hyperlink>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1.</w:t>
            </w: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4" w:history="1">
              <w:r>
                <w:rPr>
                  <w:rFonts w:ascii="Times New Roman" w:eastAsia="Times New Roman" w:hAnsi="Times New Roman" w:cs="Times New Roman"/>
                  <w:b/>
                  <w:i w:val="0"/>
                  <w:color w:val="0000FF"/>
                  <w:sz w:val="20"/>
                  <w:u w:val="single"/>
                  <w:shd w:val="clear" w:color="auto" w:fill="auto"/>
                </w:rPr>
                <w:t>Financial Statements (Unaudited)</w:t>
              </w:r>
            </w:hyperlink>
          </w:p>
        </w:tc>
        <w:tc>
          <w:tcPr>
            <w:tcW w:w="945" w:type="dxa"/>
            <w:tcBorders>
              <w:top w:val="nil"/>
              <w:left w:val="nil"/>
              <w:bottom w:val="nil"/>
              <w:right w:val="nil"/>
            </w:tcBorders>
            <w:shd w:val="clear" w:color="auto" w:fill="FFFFFF"/>
            <w:tcMar>
              <w:top w:w="0" w:type="dxa"/>
              <w:left w:w="53" w:type="dxa"/>
              <w:bottom w:w="0" w:type="dxa"/>
              <w:right w:w="53" w:type="dxa"/>
            </w:tcMar>
            <w:vAlign w:val="bottom"/>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Section4</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1</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w:anchor="Section5" w:history="1">
              <w:r>
                <w:rPr>
                  <w:rFonts w:ascii="Times New Roman" w:eastAsia="Times New Roman" w:hAnsi="Times New Roman" w:cs="Times New Roman"/>
                  <w:b w:val="0"/>
                  <w:i w:val="0"/>
                  <w:color w:val="0000FF"/>
                  <w:sz w:val="20"/>
                  <w:u w:val="single"/>
                  <w:shd w:val="clear" w:color="auto" w:fill="auto"/>
                </w:rPr>
                <w:t>Condensed Consolidated Balance Sheets as of September 30, 2026, and December 31, 2025</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Section5</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1</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46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w:anchor="Section6" w:history="1">
              <w:r>
                <w:rPr>
                  <w:rFonts w:ascii="Times New Roman" w:eastAsia="Times New Roman" w:hAnsi="Times New Roman" w:cs="Times New Roman"/>
                  <w:b w:val="0"/>
                  <w:i w:val="0"/>
                  <w:color w:val="0000FF"/>
                  <w:sz w:val="20"/>
                  <w:u w:val="single"/>
                  <w:shd w:val="clear" w:color="auto" w:fill="auto"/>
                </w:rPr>
                <w:t>Condensed Consolidated Statements of Comprehensive Loss for the Three and Nine Months Ended September 30, 2026, and September 30, 2025</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Section6</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2</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46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w:anchor="Section7" w:history="1">
              <w:r>
                <w:rPr>
                  <w:rFonts w:ascii="Times New Roman" w:eastAsia="Times New Roman" w:hAnsi="Times New Roman" w:cs="Times New Roman"/>
                  <w:b w:val="0"/>
                  <w:i w:val="0"/>
                  <w:color w:val="0000FF"/>
                  <w:sz w:val="20"/>
                  <w:u w:val="single"/>
                  <w:shd w:val="clear" w:color="auto" w:fill="auto"/>
                </w:rPr>
                <w:t>Condensed Consolidated Statements of Changes in Stockholders’ Equity for the Three and Nine Months Ended September 30, 2026, and September 30, 2025</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Section7</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46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w:anchor="Section8" w:history="1">
              <w:r>
                <w:rPr>
                  <w:rFonts w:ascii="Times New Roman" w:eastAsia="Times New Roman" w:hAnsi="Times New Roman" w:cs="Times New Roman"/>
                  <w:b w:val="0"/>
                  <w:i w:val="0"/>
                  <w:color w:val="0000FF"/>
                  <w:sz w:val="20"/>
                  <w:u w:val="single"/>
                  <w:shd w:val="clear" w:color="auto" w:fill="auto"/>
                </w:rPr>
                <w:t>Condensed Consolidated Statements of Cash Flows for the Nine Months Ended September 30, 2026, and September 30, 2025</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Section8</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5</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w:anchor="Section9" w:history="1">
              <w:r>
                <w:rPr>
                  <w:rFonts w:ascii="Times New Roman" w:eastAsia="Times New Roman" w:hAnsi="Times New Roman" w:cs="Times New Roman"/>
                  <w:b w:val="0"/>
                  <w:i w:val="0"/>
                  <w:color w:val="0000FF"/>
                  <w:sz w:val="20"/>
                  <w:u w:val="single"/>
                  <w:shd w:val="clear" w:color="auto" w:fill="auto"/>
                </w:rPr>
                <w:t>Notes to Condensed Consolidated Financial Statements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Section9</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7</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2.</w:t>
            </w: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22" w:history="1">
              <w:r>
                <w:rPr>
                  <w:rFonts w:ascii="Times New Roman" w:eastAsia="Times New Roman" w:hAnsi="Times New Roman" w:cs="Times New Roman"/>
                  <w:b/>
                  <w:i w:val="0"/>
                  <w:color w:val="0000FF"/>
                  <w:sz w:val="20"/>
                  <w:u w:val="single"/>
                  <w:shd w:val="clear" w:color="auto" w:fill="auto"/>
                </w:rPr>
                <w:t>Management’s Discussion and Analysis of Financial Condition and Results of Operations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Section22</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20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 xml:space="preserve">Item 3. </w:t>
            </w: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28" w:history="1">
              <w:r>
                <w:rPr>
                  <w:rFonts w:ascii="Times New Roman" w:eastAsia="Times New Roman" w:hAnsi="Times New Roman" w:cs="Times New Roman"/>
                  <w:b/>
                  <w:i w:val="0"/>
                  <w:color w:val="0000FF"/>
                  <w:sz w:val="20"/>
                  <w:u w:val="single"/>
                  <w:shd w:val="clear" w:color="auto" w:fill="auto"/>
                </w:rPr>
                <w:t>Quantitative and Qualitative Disclosures About Market Risk</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Section28</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29</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4.</w:t>
            </w:r>
          </w:p>
        </w:tc>
        <w:tc>
          <w:tcPr>
            <w:tcW w:w="834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29" w:history="1">
              <w:r>
                <w:rPr>
                  <w:rFonts w:ascii="Times New Roman" w:eastAsia="Times New Roman" w:hAnsi="Times New Roman" w:cs="Times New Roman"/>
                  <w:b/>
                  <w:i w:val="0"/>
                  <w:color w:val="0000FF"/>
                  <w:sz w:val="20"/>
                  <w:u w:val="single"/>
                  <w:shd w:val="clear" w:color="auto" w:fill="auto"/>
                </w:rPr>
                <w:t>Controls and Procedures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Section29</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29</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10245" w:type="dxa"/>
            <w:gridSpan w:val="3"/>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0" w:history="1">
              <w:r>
                <w:rPr>
                  <w:rFonts w:ascii="Times New Roman" w:eastAsia="Times New Roman" w:hAnsi="Times New Roman" w:cs="Times New Roman"/>
                  <w:b/>
                  <w:i w:val="0"/>
                  <w:color w:val="000000"/>
                  <w:sz w:val="20"/>
                  <w:u w:val="none"/>
                  <w:shd w:val="clear" w:color="auto" w:fill="auto"/>
                </w:rPr>
                <w:t>PART II - OTHER INFORMATION</w:t>
              </w:r>
            </w:hyperlink>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1.</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1" w:history="1">
              <w:r>
                <w:rPr>
                  <w:rFonts w:ascii="Times New Roman" w:eastAsia="Times New Roman" w:hAnsi="Times New Roman" w:cs="Times New Roman"/>
                  <w:b/>
                  <w:i w:val="0"/>
                  <w:color w:val="0000FF"/>
                  <w:sz w:val="20"/>
                  <w:u w:val="single"/>
                  <w:shd w:val="clear" w:color="auto" w:fill="auto"/>
                </w:rPr>
                <w:t>Legal Proceedings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Section31</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1A.</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2" w:history="1">
              <w:r>
                <w:rPr>
                  <w:rFonts w:ascii="Times New Roman" w:eastAsia="Times New Roman" w:hAnsi="Times New Roman" w:cs="Times New Roman"/>
                  <w:b/>
                  <w:i w:val="0"/>
                  <w:color w:val="0000FF"/>
                  <w:sz w:val="20"/>
                  <w:u w:val="single"/>
                  <w:shd w:val="clear" w:color="auto" w:fill="auto"/>
                </w:rPr>
                <w:t>Risk Factors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Section32</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46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2.</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3" w:history="1">
              <w:r>
                <w:rPr>
                  <w:rFonts w:ascii="Times New Roman" w:eastAsia="Times New Roman" w:hAnsi="Times New Roman" w:cs="Times New Roman"/>
                  <w:b/>
                  <w:i w:val="0"/>
                  <w:color w:val="0000FF"/>
                  <w:sz w:val="20"/>
                  <w:u w:val="single"/>
                  <w:shd w:val="clear" w:color="auto" w:fill="auto"/>
                </w:rPr>
                <w:t>Unregistered Sales of Equity Securities and Use of Proceeds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Section33</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3.</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4" w:history="1">
              <w:r>
                <w:rPr>
                  <w:rFonts w:ascii="Times New Roman" w:eastAsia="Times New Roman" w:hAnsi="Times New Roman" w:cs="Times New Roman"/>
                  <w:b/>
                  <w:i w:val="0"/>
                  <w:color w:val="0000FF"/>
                  <w:sz w:val="20"/>
                  <w:u w:val="single"/>
                  <w:shd w:val="clear" w:color="auto" w:fill="auto"/>
                </w:rPr>
                <w:t>Defaults Upon Senior Securities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Section34</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4.</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5" w:history="1">
              <w:r>
                <w:rPr>
                  <w:rFonts w:ascii="Times New Roman" w:eastAsia="Times New Roman" w:hAnsi="Times New Roman" w:cs="Times New Roman"/>
                  <w:b/>
                  <w:i w:val="0"/>
                  <w:color w:val="0000FF"/>
                  <w:sz w:val="20"/>
                  <w:u w:val="single"/>
                  <w:shd w:val="clear" w:color="auto" w:fill="auto"/>
                </w:rPr>
                <w:t>Mine Safety Disclosures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Section35</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5.</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6" w:history="1">
              <w:r>
                <w:rPr>
                  <w:rFonts w:ascii="Times New Roman" w:eastAsia="Times New Roman" w:hAnsi="Times New Roman" w:cs="Times New Roman"/>
                  <w:b/>
                  <w:i w:val="0"/>
                  <w:color w:val="0000FF"/>
                  <w:sz w:val="20"/>
                  <w:u w:val="single"/>
                  <w:shd w:val="clear" w:color="auto" w:fill="auto"/>
                </w:rPr>
                <w:t>Other Information</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Section36</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30</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53" w:type="dxa"/>
              <w:bottom w:w="0" w:type="dxa"/>
              <w:right w:w="53" w:type="dxa"/>
            </w:tcMar>
            <w:vAlign w:val="top"/>
          </w:tcPr>
          <w:p>
            <w:pPr>
              <w:keepNext/>
              <w:pageBreakBefore w:val="0"/>
              <w:spacing w:before="53" w:after="30" w:line="240" w:lineRule="auto"/>
              <w:jc w:val="both"/>
            </w:pPr>
            <w:r>
              <w:rPr>
                <w:rFonts w:ascii="Times New Roman" w:eastAsia="Times New Roman" w:hAnsi="Times New Roman" w:cs="Times New Roman"/>
                <w:b/>
                <w:i w:val="0"/>
                <w:color w:val="000000"/>
                <w:sz w:val="20"/>
                <w:u w:val="none"/>
              </w:rPr>
              <w:t>Item 6.</w:t>
            </w: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sz w:val="20"/>
                <w:shd w:val="clear" w:color="auto" w:fill="auto"/>
              </w:rPr>
            </w:pPr>
            <w:hyperlink w:anchor="Section37" w:history="1">
              <w:r>
                <w:rPr>
                  <w:rFonts w:ascii="Times New Roman" w:eastAsia="Times New Roman" w:hAnsi="Times New Roman" w:cs="Times New Roman"/>
                  <w:b/>
                  <w:i w:val="0"/>
                  <w:color w:val="0000FF"/>
                  <w:sz w:val="20"/>
                  <w:u w:val="single"/>
                  <w:shd w:val="clear" w:color="auto" w:fill="auto"/>
                </w:rPr>
                <w:t>Exhibits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Section37</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31</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i w:val="0"/>
                <w:color w:val="000000"/>
                <w:sz w:val="20"/>
                <w:u w:val="single"/>
                <w:shd w:val="clear" w:color="auto" w:fill="auto"/>
              </w:rPr>
            </w:pPr>
            <w:hyperlink w:anchor="Section38" w:history="1">
              <w:r>
                <w:rPr>
                  <w:rFonts w:ascii="Times New Roman" w:eastAsia="Times New Roman" w:hAnsi="Times New Roman" w:cs="Times New Roman"/>
                  <w:b/>
                  <w:i w:val="0"/>
                  <w:color w:val="0000FF"/>
                  <w:sz w:val="20"/>
                  <w:u w:val="single"/>
                  <w:shd w:val="clear" w:color="auto" w:fill="auto"/>
                </w:rPr>
                <w:t>Signatures</w:t>
              </w:r>
            </w:hyperlink>
          </w:p>
        </w:tc>
        <w:tc>
          <w:tcPr>
            <w:tcW w:w="945" w:type="dxa"/>
            <w:tcBorders>
              <w:top w:val="nil"/>
              <w:left w:val="nil"/>
              <w:bottom w:val="nil"/>
              <w:right w:val="nil"/>
            </w:tcBorders>
            <w:shd w:val="clear" w:color="auto" w:fill="FFFFFF"/>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righ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FF"/>
                <w:sz w:val="20"/>
                <w:u w:val="single"/>
              </w:rPr>
              <w:fldChar w:fldCharType="begin"/>
            </w:r>
            <w:r>
              <w:rPr>
                <w:rFonts w:ascii="Times New Roman" w:eastAsia="Times New Roman" w:hAnsi="Times New Roman" w:cs="Times New Roman"/>
                <w:b w:val="0"/>
                <w:i w:val="0"/>
                <w:color w:val="0000FF"/>
                <w:sz w:val="20"/>
                <w:u w:val="single"/>
              </w:rPr>
              <w:instrText xml:space="preserve"> PAGEREF </w:instrText>
            </w:r>
            <w:r>
              <w:rPr>
                <w:rFonts w:ascii="Times New Roman" w:eastAsia="Times New Roman" w:hAnsi="Times New Roman" w:cs="Times New Roman"/>
                <w:b w:val="0"/>
                <w:i w:val="0"/>
                <w:color w:val="0000FF"/>
                <w:sz w:val="20"/>
                <w:u w:val="single"/>
              </w:rPr>
              <w:instrText xml:space="preserve"> </w:instrText>
            </w:r>
            <w:r>
              <w:rPr>
                <w:rFonts w:ascii="Times New Roman" w:eastAsia="Times New Roman" w:hAnsi="Times New Roman" w:cs="Times New Roman"/>
                <w:b w:val="0"/>
                <w:i w:val="0"/>
                <w:color w:val="0000FF"/>
                <w:sz w:val="20"/>
                <w:u w:val="single"/>
              </w:rPr>
              <w:instrText>Section38</w:instrText>
            </w:r>
            <w:r>
              <w:rPr>
                <w:rFonts w:ascii="Times New Roman" w:eastAsia="Times New Roman" w:hAnsi="Times New Roman" w:cs="Times New Roman"/>
                <w:b w:val="0"/>
                <w:i w:val="0"/>
                <w:color w:val="0000FF"/>
                <w:sz w:val="20"/>
                <w:u w:val="single"/>
              </w:rPr>
              <w:instrText xml:space="preserve"> \h</w:instrText>
            </w:r>
            <w:r>
              <w:rPr>
                <w:rFonts w:ascii="Times New Roman" w:eastAsia="Times New Roman" w:hAnsi="Times New Roman" w:cs="Times New Roman"/>
                <w:b w:val="0"/>
                <w:i w:val="0"/>
                <w:color w:val="0000FF"/>
                <w:sz w:val="20"/>
                <w:u w:val="single"/>
              </w:rPr>
              <w:fldChar w:fldCharType="separate"/>
            </w:r>
            <w:r>
              <w:rPr>
                <w:rFonts w:ascii="Times New Roman" w:eastAsia="Times New Roman" w:hAnsi="Times New Roman" w:cs="Times New Roman"/>
                <w:b w:val="0"/>
                <w:i w:val="0"/>
                <w:color w:val="0000FF"/>
                <w:sz w:val="20"/>
                <w:u w:val="single"/>
              </w:rPr>
              <w:t>32</w:t>
            </w:r>
            <w:r>
              <w:rPr>
                <w:rFonts w:ascii="Times New Roman" w:eastAsia="Times New Roman" w:hAnsi="Times New Roman" w:cs="Times New Roman"/>
                <w:b w:val="0"/>
                <w:i w:val="0"/>
                <w:color w:val="0000FF"/>
                <w:sz w:val="20"/>
                <w:u w:val="single"/>
              </w:rPr>
              <w:fldChar w:fldCharType="end"/>
            </w: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85"/>
        </w:trPr>
        <w:tc>
          <w:tcPr>
            <w:tcW w:w="96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34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sectPr>
          <w:headerReference w:type="default" r:id="rId9"/>
          <w:footerReference w:type="default" r:id="rId10"/>
          <w:pgSz w:w="12240" w:h="15840"/>
          <w:pgMar w:top="765" w:right="990" w:bottom="855" w:left="990" w:header="270" w:footer="0"/>
          <w:cols w:space="720"/>
        </w:sectPr>
      </w:pPr>
    </w:p>
    <w:p>
      <w:pPr>
        <w:keepNext w:val="0"/>
        <w:keepLines/>
        <w:pageBreakBefore w:val="0"/>
        <w:widowControl w:val="0"/>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2" w:name="Section3"/>
      <w:bookmarkEnd w:id="2"/>
      <w:r>
        <w:rPr>
          <w:rFonts w:ascii="Times New Roman" w:eastAsia="Times New Roman" w:hAnsi="Times New Roman" w:cs="Times New Roman"/>
          <w:b/>
          <w:i w:val="0"/>
          <w:sz w:val="20"/>
        </w:rPr>
        <w:t>PART I</w:t>
      </w:r>
    </w:p>
    <w:p>
      <w:pPr>
        <w:keepNext w:val="0"/>
        <w:keepLines/>
        <w:pageBreakBefore w:val="0"/>
        <w:widowControl w:val="0"/>
        <w:numPr>
          <w:ilvl w:val="0"/>
          <w:numId w:val="0"/>
        </w:numPr>
        <w:spacing w:before="0" w:after="0" w:line="288" w:lineRule="auto"/>
        <w:ind w:left="0" w:right="0" w:firstLine="0"/>
        <w:jc w:val="center"/>
        <w:outlineLvl w:val="0"/>
        <w:sectPr>
          <w:headerReference w:type="default" r:id="rId11"/>
          <w:footerReference w:type="default" r:id="rId12"/>
          <w:pgSz w:w="12240" w:h="15840"/>
          <w:pgMar w:top="855" w:right="990" w:bottom="855" w:left="990" w:header="270" w:footer="270"/>
          <w:pgNumType w:start="1"/>
          <w:cols w:space="720"/>
        </w:sectPr>
      </w:pP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bookmarkStart w:id="3" w:name="Section4"/>
      <w:bookmarkEnd w:id="3"/>
    </w:p>
    <w:p>
      <w:pPr>
        <w:keepNext w:val="0"/>
        <w:keepLines/>
        <w:pageBreakBefore w:val="0"/>
        <w:widowControl w:val="0"/>
        <w:numPr>
          <w:ilvl w:val="0"/>
          <w:numId w:val="0"/>
        </w:numPr>
        <w:spacing w:before="0" w:after="0" w:line="288" w:lineRule="auto"/>
        <w:ind w:left="0" w:right="0" w:firstLine="0"/>
        <w:jc w:val="left"/>
        <w:outlineLvl w:val="1"/>
        <w:rPr>
          <w:rFonts w:ascii="Times New Roman" w:eastAsia="Times New Roman" w:hAnsi="Times New Roman" w:cs="Times New Roman"/>
          <w:b/>
          <w:i w:val="0"/>
          <w:sz w:val="20"/>
        </w:rPr>
      </w:pPr>
      <w:r>
        <w:rPr>
          <w:rFonts w:ascii="Times New Roman" w:eastAsia="Times New Roman" w:hAnsi="Times New Roman" w:cs="Times New Roman"/>
          <w:b/>
          <w:i w:val="0"/>
          <w:sz w:val="20"/>
        </w:rPr>
        <w:t xml:space="preserve">ITEM 1. FINANCIAL STATEMENTS </w:t>
      </w:r>
    </w:p>
    <w:p>
      <w:pPr>
        <w:keepNext w:val="0"/>
        <w:keepLines/>
        <w:pageBreakBefore w:val="0"/>
        <w:widowControl w:val="0"/>
        <w:numPr>
          <w:ilvl w:val="0"/>
          <w:numId w:val="0"/>
        </w:numPr>
        <w:spacing w:before="0" w:after="0" w:line="288" w:lineRule="auto"/>
        <w:ind w:left="0" w:right="0" w:firstLine="0"/>
        <w:jc w:val="left"/>
        <w:outlineLvl w:val="1"/>
        <w:sectPr>
          <w:footerReference w:type="default" r:id="rId13"/>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center"/>
        <w:outlineLvl w:val="2"/>
        <w:rPr>
          <w:rFonts w:ascii="Times New Roman" w:eastAsia="Times New Roman" w:hAnsi="Times New Roman" w:cs="Times New Roman"/>
          <w:b/>
          <w:i w:val="0"/>
          <w:sz w:val="20"/>
        </w:rPr>
      </w:pPr>
      <w:bookmarkStart w:id="4" w:name="Section5"/>
      <w:bookmarkEnd w:id="4"/>
      <w:r>
        <w:rPr>
          <w:rFonts w:ascii="Times New Roman" w:eastAsia="Times New Roman" w:hAnsi="Times New Roman" w:cs="Times New Roman"/>
          <w:b/>
          <w:i w:val="0"/>
          <w:sz w:val="20"/>
        </w:rPr>
        <w:t>ASURE SOFTWARE, INC.</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CONDENSED CONSOLIDATED BALANCE SHEETS</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(in thousands, except per share amounts)</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(Unaudited)</w:t>
      </w:r>
    </w:p>
    <w:tbl>
      <w:tblPr>
        <w:tblStyle w:val="TableNormal0"/>
        <w:tblW w:w="10245" w:type="dxa"/>
        <w:jc w:val="left"/>
        <w:tblInd w:w="0" w:type="dxa"/>
        <w:tblLayout w:type="fixed"/>
      </w:tblPr>
      <w:tblGrid>
        <w:gridCol w:w="7260"/>
        <w:gridCol w:w="1455"/>
        <w:gridCol w:w="75"/>
        <w:gridCol w:w="1455"/>
      </w:tblGrid>
      <w:tr>
        <w:tblPrEx>
          <w:tblW w:w="10245" w:type="dxa"/>
          <w:tblInd w:w="0" w:type="dxa"/>
          <w:tblLayout w:type="fixed"/>
        </w:tblPrEx>
        <w:trPr>
          <w:trHeight w:hRule="exact" w:val="495"/>
        </w:trPr>
        <w:tc>
          <w:tcPr>
            <w:tcW w:w="72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5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September 30, 2026</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December 31, 2025</w:t>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i w:val="0"/>
                <w:color w:val="000000"/>
                <w:sz w:val="16"/>
                <w:u w:val="none"/>
              </w:rPr>
              <w:t>ASSETS</w:t>
            </w:r>
          </w:p>
        </w:tc>
        <w:tc>
          <w:tcPr>
            <w:tcW w:w="145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5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Current assets:</w:t>
            </w:r>
          </w:p>
        </w:tc>
        <w:tc>
          <w:tcPr>
            <w:tcW w:w="145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Cash and cash equivalents</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w:t>
              <w:tab/>
              <w:t>16,780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w:t>
              <w:tab/>
              <w:t>25,244</w:t>
              <w:tab/>
            </w:r>
          </w:p>
        </w:tc>
      </w:tr>
      <w:tr>
        <w:tblPrEx>
          <w:tblW w:w="10245" w:type="dxa"/>
          <w:tblInd w:w="0" w:type="dxa"/>
          <w:tblLayout w:type="fixed"/>
        </w:tblPrEx>
        <w:trPr>
          <w:trHeight w:hRule="exact" w:val="435"/>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numPr>
                <w:ilvl w:val="0"/>
                <w:numId w:val="0"/>
              </w:numPr>
              <w:spacing w:before="53" w:after="30" w:line="288" w:lineRule="auto"/>
              <w:ind w:left="630" w:right="0" w:hanging="180"/>
              <w:jc w:val="left"/>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 xml:space="preserve">Accounts receivable, net of allowance for credit losses of </w:t>
            </w:r>
            <w:r>
              <w:rPr>
                <w:rFonts w:ascii="Times New Roman" w:eastAsia="Times New Roman" w:hAnsi="Times New Roman" w:cs="Times New Roman"/>
                <w:b w:val="0"/>
                <w:i w:val="0"/>
                <w:color w:val="000000"/>
                <w:sz w:val="16"/>
                <w:u w:val="none"/>
              </w:rPr>
              <w:t>$8,716</w:t>
            </w:r>
            <w:r>
              <w:rPr>
                <w:rFonts w:ascii="Times New Roman" w:eastAsia="Times New Roman" w:hAnsi="Times New Roman" w:cs="Times New Roman"/>
                <w:b w:val="0"/>
                <w:i w:val="0"/>
                <w:sz w:val="16"/>
              </w:rPr>
              <w:t xml:space="preserve"> and </w:t>
            </w:r>
            <w:r>
              <w:rPr>
                <w:rFonts w:ascii="Times New Roman" w:eastAsia="Times New Roman" w:hAnsi="Times New Roman" w:cs="Times New Roman"/>
                <w:b w:val="0"/>
                <w:i w:val="0"/>
                <w:color w:val="000000"/>
                <w:sz w:val="16"/>
                <w:u w:val="none"/>
              </w:rPr>
              <w:t>$7,206</w:t>
            </w:r>
            <w:r>
              <w:rPr>
                <w:rFonts w:ascii="Times New Roman" w:eastAsia="Times New Roman" w:hAnsi="Times New Roman" w:cs="Times New Roman"/>
                <w:b w:val="0"/>
                <w:i w:val="0"/>
                <w:sz w:val="16"/>
              </w:rPr>
              <w:t xml:space="preserve"> at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sz w:val="16"/>
              </w:rPr>
              <w:t xml:space="preserve">, and </w:t>
            </w:r>
            <w:r>
              <w:rPr>
                <w:rFonts w:ascii="Times New Roman" w:eastAsia="Times New Roman" w:hAnsi="Times New Roman" w:cs="Times New Roman"/>
                <w:b w:val="0"/>
                <w:i w:val="0"/>
                <w:color w:val="000000"/>
                <w:sz w:val="16"/>
                <w:u w:val="none"/>
              </w:rPr>
              <w:t>December 31, 2025</w:t>
            </w:r>
            <w:r>
              <w:rPr>
                <w:rFonts w:ascii="Times New Roman" w:eastAsia="Times New Roman" w:hAnsi="Times New Roman" w:cs="Times New Roman"/>
                <w:b w:val="0"/>
                <w:i w:val="0"/>
                <w:sz w:val="16"/>
              </w:rPr>
              <w:t>, respectively</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12,830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15,859</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Inventory</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2,737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2,826</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Prepaid expenses and other current assets</w:t>
            </w: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9,866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6,329</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current assets before funds held for clients</w:t>
            </w:r>
          </w:p>
        </w:tc>
        <w:tc>
          <w:tcPr>
            <w:tcW w:w="145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42,213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50,258</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Funds held for clients</w:t>
            </w: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194,746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228,111</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current assets</w:t>
            </w:r>
          </w:p>
        </w:tc>
        <w:tc>
          <w:tcPr>
            <w:tcW w:w="145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236,959</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278,369</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Property and equipment, net</w:t>
            </w:r>
          </w:p>
        </w:tc>
        <w:tc>
          <w:tcPr>
            <w:tcW w:w="145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32,798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27,810</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Goodwill</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115,759</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115,759</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Intangible assets, net</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79,297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87,911</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Operating lease assets, net</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4,865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6,028</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Other assets, net</w:t>
            </w: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21,126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15,542</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16"/>
                <w:u w:val="none"/>
              </w:rPr>
              <w:t>Total assets</w:t>
            </w:r>
          </w:p>
        </w:tc>
        <w:tc>
          <w:tcPr>
            <w:tcW w:w="145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w:t>
              <w:tab/>
              <w:t>490,804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w:t>
              <w:tab/>
              <w:t>531,419</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numPr>
                <w:ilvl w:val="0"/>
                <w:numId w:val="0"/>
              </w:numPr>
              <w:spacing w:before="0" w:after="30" w:line="288" w:lineRule="auto"/>
              <w:ind w:left="0" w:right="0" w:firstLine="0"/>
              <w:jc w:val="left"/>
              <w:outlineLvl w:val="9"/>
              <w:rPr>
                <w:rFonts w:ascii="Times New Roman" w:eastAsia="Times New Roman" w:hAnsi="Times New Roman" w:cs="Times New Roman"/>
                <w:b/>
                <w:i w:val="0"/>
                <w:sz w:val="16"/>
              </w:rPr>
            </w:pPr>
            <w:r>
              <w:rPr>
                <w:rFonts w:ascii="Times New Roman" w:eastAsia="Times New Roman" w:hAnsi="Times New Roman" w:cs="Times New Roman"/>
                <w:b/>
                <w:i w:val="0"/>
                <w:sz w:val="16"/>
              </w:rPr>
              <w:t>LIABILITIES AND STOCKHOLDERS</w:t>
            </w:r>
            <w:r>
              <w:rPr>
                <w:rFonts w:ascii="Times New Roman" w:eastAsia="Times New Roman" w:hAnsi="Times New Roman" w:cs="Times New Roman"/>
                <w:b w:val="0"/>
                <w:i w:val="0"/>
                <w:sz w:val="16"/>
              </w:rPr>
              <w:t>’</w:t>
            </w:r>
            <w:r>
              <w:rPr>
                <w:rFonts w:ascii="Times New Roman" w:eastAsia="Times New Roman" w:hAnsi="Times New Roman" w:cs="Times New Roman"/>
                <w:b/>
                <w:i w:val="0"/>
                <w:sz w:val="16"/>
              </w:rPr>
              <w:t xml:space="preserve"> EQUITY</w:t>
            </w:r>
          </w:p>
        </w:tc>
        <w:tc>
          <w:tcPr>
            <w:tcW w:w="1455"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Current liabilities:</w:t>
            </w:r>
          </w:p>
        </w:tc>
        <w:tc>
          <w:tcPr>
            <w:tcW w:w="145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Current portion of notes payable</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w:t>
              <w:tab/>
              <w:t>5,301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w:t>
              <w:tab/>
              <w:t>4,344</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Accounts payable</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2,078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2,174</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Accrued compensation and benefits</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6,073</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4,723</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Lease liabilities, current</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2,067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1,956</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Other accrued liabilities</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6,776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6,422</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Deferred revenue</w:t>
            </w:r>
          </w:p>
        </w:tc>
        <w:tc>
          <w:tcPr>
            <w:tcW w:w="145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5,864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11,622</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current liabilities before client fund obligations</w:t>
            </w:r>
          </w:p>
        </w:tc>
        <w:tc>
          <w:tcPr>
            <w:tcW w:w="145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28,159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31,241</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Client fund obligations</w:t>
            </w:r>
          </w:p>
        </w:tc>
        <w:tc>
          <w:tcPr>
            <w:tcW w:w="145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197,381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228,482</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current liabilities</w:t>
            </w:r>
          </w:p>
        </w:tc>
        <w:tc>
          <w:tcPr>
            <w:tcW w:w="145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225,540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259,723</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Long-term liabilities:</w:t>
            </w:r>
          </w:p>
        </w:tc>
        <w:tc>
          <w:tcPr>
            <w:tcW w:w="145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Deferred revenue</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1,228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1,909</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Deferred tax liability</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3,413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3,264</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Notes payable, net of current portion</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59,358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96"/>
                <w:tab w:val="left" w:pos="1387"/>
              </w:tabs>
              <w:spacing w:before="53" w:after="30" w:line="288" w:lineRule="auto"/>
              <w:jc w:val="right"/>
            </w:pPr>
            <w:r>
              <w:rPr>
                <w:rFonts w:ascii="Times New Roman" w:eastAsia="Times New Roman" w:hAnsi="Times New Roman" w:cs="Times New Roman"/>
                <w:b w:val="0"/>
                <w:i w:val="0"/>
                <w:color w:val="000000"/>
                <w:sz w:val="16"/>
                <w:u w:val="none"/>
              </w:rPr>
              <w:tab/>
              <w:t>63,282</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Lease liabilities, noncurrent</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3,578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76"/>
                <w:tab w:val="left" w:pos="1387"/>
              </w:tabs>
              <w:spacing w:before="53" w:after="30" w:line="288" w:lineRule="auto"/>
              <w:jc w:val="right"/>
            </w:pPr>
            <w:r>
              <w:rPr>
                <w:rFonts w:ascii="Times New Roman" w:eastAsia="Times New Roman" w:hAnsi="Times New Roman" w:cs="Times New Roman"/>
                <w:b w:val="0"/>
                <w:i w:val="0"/>
                <w:color w:val="000000"/>
                <w:sz w:val="16"/>
                <w:u w:val="none"/>
              </w:rPr>
              <w:tab/>
              <w:t>5,221</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Other liabilities</w:t>
            </w: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096"/>
                <w:tab w:val="left" w:pos="1387"/>
              </w:tabs>
              <w:spacing w:before="53" w:after="30" w:line="288" w:lineRule="auto"/>
              <w:jc w:val="right"/>
            </w:pPr>
            <w:r>
              <w:rPr>
                <w:rFonts w:ascii="Times New Roman" w:eastAsia="Times New Roman" w:hAnsi="Times New Roman" w:cs="Times New Roman"/>
                <w:b w:val="0"/>
                <w:i w:val="0"/>
                <w:color w:val="000000"/>
                <w:sz w:val="16"/>
                <w:u w:val="none"/>
              </w:rPr>
              <w:tab/>
              <w:t>319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096"/>
                <w:tab w:val="left" w:pos="1387"/>
              </w:tabs>
              <w:spacing w:before="53" w:after="30" w:line="288" w:lineRule="auto"/>
              <w:jc w:val="right"/>
            </w:pPr>
            <w:r>
              <w:rPr>
                <w:rFonts w:ascii="Times New Roman" w:eastAsia="Times New Roman" w:hAnsi="Times New Roman" w:cs="Times New Roman"/>
                <w:b w:val="0"/>
                <w:i w:val="0"/>
                <w:color w:val="000000"/>
                <w:sz w:val="16"/>
                <w:u w:val="none"/>
              </w:rPr>
              <w:tab/>
              <w:t>224</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long-term liabilities</w:t>
            </w:r>
          </w:p>
        </w:tc>
        <w:tc>
          <w:tcPr>
            <w:tcW w:w="145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67,896</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96"/>
                <w:tab w:val="left" w:pos="1387"/>
              </w:tabs>
              <w:spacing w:before="33" w:after="30" w:line="288" w:lineRule="auto"/>
              <w:jc w:val="right"/>
            </w:pPr>
            <w:r>
              <w:rPr>
                <w:rFonts w:ascii="Times New Roman" w:eastAsia="Times New Roman" w:hAnsi="Times New Roman" w:cs="Times New Roman"/>
                <w:b w:val="0"/>
                <w:i w:val="0"/>
                <w:color w:val="000000"/>
                <w:sz w:val="16"/>
                <w:u w:val="none"/>
              </w:rPr>
              <w:tab/>
              <w:t>73,900</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liabilities</w:t>
            </w:r>
          </w:p>
        </w:tc>
        <w:tc>
          <w:tcPr>
            <w:tcW w:w="145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293,436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333,623</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Commitments and contingencies - Note 8</w:t>
            </w:r>
          </w:p>
        </w:tc>
        <w:tc>
          <w:tcPr>
            <w:tcW w:w="145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Stockholders’ equity:</w:t>
            </w:r>
          </w:p>
        </w:tc>
        <w:tc>
          <w:tcPr>
            <w:tcW w:w="145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numPr>
                <w:ilvl w:val="0"/>
                <w:numId w:val="0"/>
              </w:numPr>
              <w:spacing w:before="53" w:after="30" w:line="288" w:lineRule="auto"/>
              <w:ind w:left="630" w:right="0" w:hanging="180"/>
              <w:jc w:val="left"/>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 xml:space="preserve">Preferred stock, </w:t>
            </w:r>
            <w:r>
              <w:rPr>
                <w:rFonts w:ascii="Times New Roman" w:eastAsia="Times New Roman" w:hAnsi="Times New Roman" w:cs="Times New Roman"/>
                <w:b w:val="0"/>
                <w:i w:val="0"/>
                <w:color w:val="000000"/>
                <w:sz w:val="16"/>
                <w:u w:val="none"/>
              </w:rPr>
              <w:t>$0.01</w:t>
            </w:r>
            <w:r>
              <w:rPr>
                <w:rFonts w:ascii="Times New Roman" w:eastAsia="Times New Roman" w:hAnsi="Times New Roman" w:cs="Times New Roman"/>
                <w:b w:val="0"/>
                <w:i w:val="0"/>
                <w:sz w:val="16"/>
              </w:rPr>
              <w:t xml:space="preserve"> par value; </w:t>
            </w:r>
            <w:r>
              <w:rPr>
                <w:rFonts w:ascii="Times New Roman" w:eastAsia="Times New Roman" w:hAnsi="Times New Roman" w:cs="Times New Roman"/>
                <w:b w:val="0"/>
                <w:i w:val="0"/>
                <w:color w:val="000000"/>
                <w:sz w:val="16"/>
                <w:u w:val="none"/>
              </w:rPr>
              <w:t>1,500</w:t>
            </w:r>
            <w:r>
              <w:rPr>
                <w:rFonts w:ascii="Times New Roman" w:eastAsia="Times New Roman" w:hAnsi="Times New Roman" w:cs="Times New Roman"/>
                <w:b w:val="0"/>
                <w:i w:val="0"/>
                <w:sz w:val="16"/>
              </w:rPr>
              <w:t xml:space="preserve"> shares authorized; </w:t>
            </w:r>
            <w:r>
              <w:rPr>
                <w:rFonts w:ascii="Times New Roman" w:eastAsia="Times New Roman" w:hAnsi="Times New Roman" w:cs="Times New Roman"/>
                <w:b w:val="0"/>
                <w:i w:val="0"/>
                <w:color w:val="000000"/>
                <w:sz w:val="16"/>
                <w:u w:val="none"/>
              </w:rPr>
              <w:t>none</w:t>
            </w:r>
            <w:r>
              <w:rPr>
                <w:rFonts w:ascii="Times New Roman" w:eastAsia="Times New Roman" w:hAnsi="Times New Roman" w:cs="Times New Roman"/>
                <w:b w:val="0"/>
                <w:i w:val="0"/>
                <w:sz w:val="16"/>
              </w:rPr>
              <w:t xml:space="preserve"> issued or outstanding</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6"/>
                <w:tab w:val="left" w:pos="138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6"/>
                <w:tab w:val="left" w:pos="1387"/>
              </w:tabs>
              <w:spacing w:before="53" w:after="30" w:line="288" w:lineRule="auto"/>
              <w:jc w:val="right"/>
            </w:pPr>
            <w:r>
              <w:rPr>
                <w:rFonts w:ascii="Times New Roman" w:eastAsia="Times New Roman" w:hAnsi="Times New Roman" w:cs="Times New Roman"/>
                <w:b w:val="0"/>
                <w:i w:val="0"/>
                <w:color w:val="000000"/>
                <w:sz w:val="16"/>
                <w:u w:val="none"/>
              </w:rPr>
              <w:tab/>
              <w:t>—</w:t>
              <w:tab/>
            </w:r>
          </w:p>
        </w:tc>
      </w:tr>
      <w:tr>
        <w:tblPrEx>
          <w:tblW w:w="10245" w:type="dxa"/>
          <w:tblInd w:w="0" w:type="dxa"/>
          <w:tblLayout w:type="fixed"/>
        </w:tblPrEx>
        <w:trPr>
          <w:trHeight w:hRule="exact" w:val="42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numPr>
                <w:ilvl w:val="0"/>
                <w:numId w:val="0"/>
              </w:numPr>
              <w:spacing w:before="53" w:after="30" w:line="288" w:lineRule="auto"/>
              <w:ind w:left="630" w:right="0" w:hanging="180"/>
              <w:jc w:val="left"/>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 xml:space="preserve">Common stock, </w:t>
            </w:r>
            <w:r>
              <w:rPr>
                <w:rFonts w:ascii="Times New Roman" w:eastAsia="Times New Roman" w:hAnsi="Times New Roman" w:cs="Times New Roman"/>
                <w:b w:val="0"/>
                <w:i w:val="0"/>
                <w:color w:val="000000"/>
                <w:sz w:val="16"/>
                <w:u w:val="none"/>
              </w:rPr>
              <w:t>$0.01</w:t>
            </w:r>
            <w:r>
              <w:rPr>
                <w:rFonts w:ascii="Times New Roman" w:eastAsia="Times New Roman" w:hAnsi="Times New Roman" w:cs="Times New Roman"/>
                <w:b w:val="0"/>
                <w:i w:val="0"/>
                <w:sz w:val="16"/>
              </w:rPr>
              <w:t xml:space="preserve"> par value; </w:t>
            </w:r>
            <w:r>
              <w:rPr>
                <w:rFonts w:ascii="Times New Roman" w:eastAsia="Times New Roman" w:hAnsi="Times New Roman" w:cs="Times New Roman"/>
                <w:b w:val="0"/>
                <w:i w:val="0"/>
                <w:color w:val="000000"/>
                <w:sz w:val="16"/>
                <w:u w:val="none"/>
              </w:rPr>
              <w:t>44,000</w:t>
            </w:r>
            <w:r>
              <w:rPr>
                <w:rFonts w:ascii="Times New Roman" w:eastAsia="Times New Roman" w:hAnsi="Times New Roman" w:cs="Times New Roman"/>
                <w:b w:val="0"/>
                <w:i w:val="0"/>
                <w:sz w:val="16"/>
              </w:rPr>
              <w:t xml:space="preserve"> shares authorized; </w:t>
            </w:r>
            <w:r>
              <w:rPr>
                <w:rFonts w:ascii="Times New Roman" w:eastAsia="Times New Roman" w:hAnsi="Times New Roman" w:cs="Times New Roman"/>
                <w:b w:val="0"/>
                <w:i w:val="0"/>
                <w:color w:val="000000"/>
                <w:sz w:val="16"/>
                <w:u w:val="none"/>
              </w:rPr>
              <w:t>28,921</w:t>
            </w:r>
            <w:r>
              <w:rPr>
                <w:rFonts w:ascii="Times New Roman" w:eastAsia="Times New Roman" w:hAnsi="Times New Roman" w:cs="Times New Roman"/>
                <w:b w:val="0"/>
                <w:i w:val="0"/>
                <w:sz w:val="16"/>
              </w:rPr>
              <w:t xml:space="preserve"> and </w:t>
            </w:r>
            <w:r>
              <w:rPr>
                <w:rFonts w:ascii="Times New Roman" w:eastAsia="Times New Roman" w:hAnsi="Times New Roman" w:cs="Times New Roman"/>
                <w:b w:val="0"/>
                <w:i w:val="0"/>
                <w:color w:val="000000"/>
                <w:sz w:val="16"/>
                <w:u w:val="none"/>
              </w:rPr>
              <w:t>28,076</w:t>
            </w:r>
            <w:r>
              <w:rPr>
                <w:rFonts w:ascii="Times New Roman" w:eastAsia="Times New Roman" w:hAnsi="Times New Roman" w:cs="Times New Roman"/>
                <w:b w:val="0"/>
                <w:i w:val="0"/>
                <w:sz w:val="16"/>
              </w:rPr>
              <w:t xml:space="preserve"> shares issued, </w:t>
            </w:r>
            <w:r>
              <w:rPr>
                <w:rFonts w:ascii="Times New Roman" w:eastAsia="Times New Roman" w:hAnsi="Times New Roman" w:cs="Times New Roman"/>
                <w:b w:val="0"/>
                <w:i w:val="0"/>
                <w:color w:val="000000"/>
                <w:sz w:val="16"/>
                <w:u w:val="none"/>
              </w:rPr>
              <w:t>28,921</w:t>
            </w:r>
            <w:r>
              <w:rPr>
                <w:rFonts w:ascii="Times New Roman" w:eastAsia="Times New Roman" w:hAnsi="Times New Roman" w:cs="Times New Roman"/>
                <w:b w:val="0"/>
                <w:i w:val="0"/>
                <w:sz w:val="16"/>
              </w:rPr>
              <w:t xml:space="preserve"> and </w:t>
            </w:r>
            <w:r>
              <w:rPr>
                <w:rFonts w:ascii="Times New Roman" w:eastAsia="Times New Roman" w:hAnsi="Times New Roman" w:cs="Times New Roman"/>
                <w:b w:val="0"/>
                <w:i w:val="0"/>
                <w:color w:val="000000"/>
                <w:sz w:val="16"/>
                <w:u w:val="none"/>
              </w:rPr>
              <w:t>28,076</w:t>
            </w:r>
            <w:r>
              <w:rPr>
                <w:rFonts w:ascii="Times New Roman" w:eastAsia="Times New Roman" w:hAnsi="Times New Roman" w:cs="Times New Roman"/>
                <w:b w:val="0"/>
                <w:i w:val="0"/>
                <w:sz w:val="16"/>
              </w:rPr>
              <w:t xml:space="preserve"> shares outstanding at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sz w:val="16"/>
              </w:rPr>
              <w:t xml:space="preserve">, and </w:t>
            </w:r>
            <w:r>
              <w:rPr>
                <w:rFonts w:ascii="Times New Roman" w:eastAsia="Times New Roman" w:hAnsi="Times New Roman" w:cs="Times New Roman"/>
                <w:b w:val="0"/>
                <w:i w:val="0"/>
                <w:color w:val="000000"/>
                <w:sz w:val="16"/>
                <w:u w:val="none"/>
              </w:rPr>
              <w:t>December 31, 2025</w:t>
            </w:r>
            <w:r>
              <w:rPr>
                <w:rFonts w:ascii="Times New Roman" w:eastAsia="Times New Roman" w:hAnsi="Times New Roman" w:cs="Times New Roman"/>
                <w:b w:val="0"/>
                <w:i w:val="0"/>
                <w:sz w:val="16"/>
              </w:rPr>
              <w:t>, respectively</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96"/>
                <w:tab w:val="left" w:pos="1387"/>
              </w:tabs>
              <w:spacing w:before="53" w:after="30" w:line="288" w:lineRule="auto"/>
              <w:jc w:val="right"/>
            </w:pPr>
            <w:r>
              <w:rPr>
                <w:rFonts w:ascii="Times New Roman" w:eastAsia="Times New Roman" w:hAnsi="Times New Roman" w:cs="Times New Roman"/>
                <w:b w:val="0"/>
                <w:i w:val="0"/>
                <w:color w:val="000000"/>
                <w:sz w:val="16"/>
                <w:u w:val="none"/>
              </w:rPr>
              <w:tab/>
              <w:t>289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96"/>
                <w:tab w:val="left" w:pos="1387"/>
              </w:tabs>
              <w:spacing w:before="53" w:after="30" w:line="288" w:lineRule="auto"/>
              <w:jc w:val="right"/>
            </w:pPr>
            <w:r>
              <w:rPr>
                <w:rFonts w:ascii="Times New Roman" w:eastAsia="Times New Roman" w:hAnsi="Times New Roman" w:cs="Times New Roman"/>
                <w:b w:val="0"/>
                <w:i w:val="0"/>
                <w:color w:val="000000"/>
                <w:sz w:val="16"/>
                <w:u w:val="none"/>
              </w:rPr>
              <w:tab/>
              <w:t>281</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numPr>
                <w:ilvl w:val="0"/>
                <w:numId w:val="0"/>
              </w:numPr>
              <w:spacing w:before="53" w:after="30" w:line="288" w:lineRule="auto"/>
              <w:ind w:left="630" w:right="0" w:hanging="180"/>
              <w:jc w:val="left"/>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 xml:space="preserve">Treasury stock at cost, </w:t>
            </w:r>
            <w:r>
              <w:rPr>
                <w:rFonts w:ascii="Times New Roman" w:eastAsia="Times New Roman" w:hAnsi="Times New Roman" w:cs="Times New Roman"/>
                <w:b w:val="0"/>
                <w:i w:val="0"/>
                <w:color w:val="000000"/>
                <w:sz w:val="16"/>
                <w:u w:val="none"/>
              </w:rPr>
              <w:t>zero</w:t>
            </w:r>
            <w:r>
              <w:rPr>
                <w:rFonts w:ascii="Times New Roman" w:eastAsia="Times New Roman" w:hAnsi="Times New Roman" w:cs="Times New Roman"/>
                <w:b w:val="0"/>
                <w:i w:val="0"/>
                <w:sz w:val="16"/>
                <w:vertAlign w:val="superscript"/>
              </w:rPr>
              <w:t>(1)</w:t>
            </w:r>
            <w:r>
              <w:rPr>
                <w:rFonts w:ascii="Times New Roman" w:eastAsia="Times New Roman" w:hAnsi="Times New Roman" w:cs="Times New Roman"/>
                <w:b w:val="0"/>
                <w:i w:val="0"/>
                <w:sz w:val="16"/>
              </w:rPr>
              <w:t xml:space="preserve"> shares at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sz w:val="16"/>
              </w:rPr>
              <w:t xml:space="preserve">, and </w:t>
            </w:r>
            <w:r>
              <w:rPr>
                <w:rFonts w:ascii="Times New Roman" w:eastAsia="Times New Roman" w:hAnsi="Times New Roman" w:cs="Times New Roman"/>
                <w:b w:val="0"/>
                <w:i w:val="0"/>
                <w:color w:val="000000"/>
                <w:sz w:val="16"/>
                <w:u w:val="none"/>
              </w:rPr>
              <w:t>December 31, 2025</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6"/>
                <w:tab w:val="left" w:pos="138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6"/>
                <w:tab w:val="left" w:pos="1387"/>
              </w:tabs>
              <w:spacing w:before="53" w:after="30" w:line="288" w:lineRule="auto"/>
              <w:jc w:val="right"/>
            </w:pPr>
            <w:r>
              <w:rPr>
                <w:rFonts w:ascii="Times New Roman" w:eastAsia="Times New Roman" w:hAnsi="Times New Roman" w:cs="Times New Roman"/>
                <w:b w:val="0"/>
                <w:i w:val="0"/>
                <w:color w:val="000000"/>
                <w:sz w:val="16"/>
                <w:u w:val="none"/>
              </w:rPr>
              <w:tab/>
              <w:t>—</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Additional paid-in capital</w:t>
            </w: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523,936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53" w:after="30" w:line="288" w:lineRule="auto"/>
              <w:jc w:val="right"/>
            </w:pPr>
            <w:r>
              <w:rPr>
                <w:rFonts w:ascii="Times New Roman" w:eastAsia="Times New Roman" w:hAnsi="Times New Roman" w:cs="Times New Roman"/>
                <w:b w:val="0"/>
                <w:i w:val="0"/>
                <w:color w:val="000000"/>
                <w:sz w:val="16"/>
                <w:u w:val="none"/>
              </w:rPr>
              <w:tab/>
              <w:t>517,432</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Accumulated deficit</w:t>
            </w: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2"/>
              </w:tabs>
              <w:spacing w:before="53" w:after="30" w:line="288" w:lineRule="auto"/>
              <w:jc w:val="right"/>
            </w:pPr>
            <w:r>
              <w:rPr>
                <w:rFonts w:ascii="Times New Roman" w:eastAsia="Times New Roman" w:hAnsi="Times New Roman" w:cs="Times New Roman"/>
                <w:b w:val="0"/>
                <w:i w:val="0"/>
                <w:color w:val="000000"/>
                <w:sz w:val="16"/>
                <w:u w:val="none"/>
              </w:rPr>
              <w:tab/>
              <w:t>(324,774)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2"/>
              </w:tabs>
              <w:spacing w:before="53" w:after="30" w:line="288" w:lineRule="auto"/>
              <w:jc w:val="right"/>
            </w:pPr>
            <w:r>
              <w:rPr>
                <w:rFonts w:ascii="Times New Roman" w:eastAsia="Times New Roman" w:hAnsi="Times New Roman" w:cs="Times New Roman"/>
                <w:b w:val="0"/>
                <w:i w:val="0"/>
                <w:color w:val="000000"/>
                <w:sz w:val="16"/>
                <w:u w:val="none"/>
              </w:rPr>
              <w:tab/>
              <w:t>(320,352)</w:t>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30" w:hanging="180"/>
              <w:jc w:val="left"/>
            </w:pPr>
            <w:r>
              <w:rPr>
                <w:rFonts w:ascii="Times New Roman" w:eastAsia="Times New Roman" w:hAnsi="Times New Roman" w:cs="Times New Roman"/>
                <w:b w:val="0"/>
                <w:i w:val="0"/>
                <w:color w:val="000000"/>
                <w:sz w:val="16"/>
                <w:u w:val="none"/>
              </w:rPr>
              <w:t>Accumulated other comprehensive income (loss)</w:t>
            </w: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902"/>
              </w:tabs>
              <w:spacing w:before="53" w:after="30" w:line="288" w:lineRule="auto"/>
              <w:jc w:val="right"/>
            </w:pPr>
            <w:r>
              <w:rPr>
                <w:rFonts w:ascii="Times New Roman" w:eastAsia="Times New Roman" w:hAnsi="Times New Roman" w:cs="Times New Roman"/>
                <w:b w:val="0"/>
                <w:i w:val="0"/>
                <w:color w:val="000000"/>
                <w:sz w:val="16"/>
                <w:u w:val="none"/>
              </w:rPr>
              <w:tab/>
              <w:t>(2,083)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096"/>
                <w:tab w:val="left" w:pos="1387"/>
              </w:tabs>
              <w:spacing w:before="53" w:after="30" w:line="288" w:lineRule="auto"/>
              <w:jc w:val="right"/>
            </w:pPr>
            <w:r>
              <w:rPr>
                <w:rFonts w:ascii="Times New Roman" w:eastAsia="Times New Roman" w:hAnsi="Times New Roman" w:cs="Times New Roman"/>
                <w:b w:val="0"/>
                <w:i w:val="0"/>
                <w:color w:val="000000"/>
                <w:sz w:val="16"/>
                <w:u w:val="none"/>
              </w:rPr>
              <w:tab/>
              <w:t>435</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left="240"/>
              <w:jc w:val="left"/>
            </w:pPr>
            <w:r>
              <w:rPr>
                <w:rFonts w:ascii="Times New Roman" w:eastAsia="Times New Roman" w:hAnsi="Times New Roman" w:cs="Times New Roman"/>
                <w:b w:val="0"/>
                <w:i w:val="0"/>
                <w:color w:val="000000"/>
                <w:sz w:val="16"/>
                <w:u w:val="none"/>
              </w:rPr>
              <w:t>Total stockholders’ equity</w:t>
            </w:r>
          </w:p>
        </w:tc>
        <w:tc>
          <w:tcPr>
            <w:tcW w:w="145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197,368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ab/>
              <w:t>197,796</w:t>
              <w:tab/>
            </w:r>
          </w:p>
        </w:tc>
      </w:tr>
      <w:tr>
        <w:tblPrEx>
          <w:tblW w:w="10245" w:type="dxa"/>
          <w:tblInd w:w="0" w:type="dxa"/>
          <w:tblLayout w:type="fixed"/>
        </w:tblPrEx>
        <w:trPr>
          <w:trHeight w:hRule="exact" w:val="240"/>
        </w:trPr>
        <w:tc>
          <w:tcPr>
            <w:tcW w:w="72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16"/>
                <w:u w:val="none"/>
              </w:rPr>
              <w:t>Total liabilities and stockholders’ equity</w:t>
            </w:r>
          </w:p>
        </w:tc>
        <w:tc>
          <w:tcPr>
            <w:tcW w:w="145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w:t>
              <w:tab/>
              <w:t>490,804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45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 w:val="left" w:pos="1387"/>
              </w:tabs>
              <w:spacing w:before="33" w:after="30" w:line="288" w:lineRule="auto"/>
              <w:jc w:val="right"/>
            </w:pPr>
            <w:r>
              <w:rPr>
                <w:rFonts w:ascii="Times New Roman" w:eastAsia="Times New Roman" w:hAnsi="Times New Roman" w:cs="Times New Roman"/>
                <w:b w:val="0"/>
                <w:i w:val="0"/>
                <w:color w:val="000000"/>
                <w:sz w:val="16"/>
                <w:u w:val="none"/>
              </w:rPr>
              <w:t>$</w:t>
              <w:tab/>
              <w:t>531,419</w:t>
              <w:tab/>
            </w:r>
          </w:p>
        </w:tc>
      </w:tr>
      <w:tr>
        <w:tblPrEx>
          <w:tblW w:w="10245" w:type="dxa"/>
          <w:tblInd w:w="0" w:type="dxa"/>
          <w:tblLayout w:type="fixed"/>
        </w:tblPrEx>
        <w:trPr>
          <w:trHeight w:hRule="exact" w:val="405"/>
        </w:trPr>
        <w:tc>
          <w:tcPr>
            <w:tcW w:w="10245" w:type="dxa"/>
            <w:gridSpan w:val="4"/>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0" w:line="288" w:lineRule="auto"/>
              <w:jc w:val="left"/>
            </w:pPr>
            <w:r>
              <w:rPr>
                <w:rFonts w:ascii="Times New Roman" w:eastAsia="Times New Roman" w:hAnsi="Times New Roman" w:cs="Times New Roman"/>
                <w:b w:val="0"/>
                <w:i w:val="0"/>
                <w:color w:val="000000"/>
                <w:sz w:val="14"/>
                <w:u w:val="none"/>
              </w:rPr>
              <w:t xml:space="preserve">  (1)    The aggregate Treasury stock of prior repurchases of our own common stock was retired and subsequently issued effective January 1, 2024. See the Condensed</w:t>
            </w:r>
          </w:p>
          <w:p>
            <w:pPr>
              <w:spacing w:after="30" w:line="288" w:lineRule="auto"/>
              <w:jc w:val="left"/>
            </w:pPr>
            <w:r>
              <w:rPr>
                <w:rFonts w:ascii="Times New Roman" w:eastAsia="Times New Roman" w:hAnsi="Times New Roman" w:cs="Times New Roman"/>
                <w:b w:val="0"/>
                <w:i w:val="0"/>
                <w:color w:val="000000"/>
                <w:sz w:val="14"/>
                <w:u w:val="none"/>
              </w:rPr>
              <w:t xml:space="preserve">           Consolidated Statement of Changes in Stockholders’ Equity for the impact of this transaction.</w:t>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accompanying notes are an integral part of these Condensed Consolidated Financial Statements.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footerReference w:type="default" r:id="rId14"/>
          <w:type w:val="continuous"/>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center"/>
        <w:outlineLvl w:val="2"/>
        <w:rPr>
          <w:rFonts w:ascii="Times New Roman" w:eastAsia="Times New Roman" w:hAnsi="Times New Roman" w:cs="Times New Roman"/>
          <w:b/>
          <w:i w:val="0"/>
          <w:sz w:val="20"/>
        </w:rPr>
      </w:pPr>
      <w:bookmarkStart w:id="5" w:name="Section6"/>
      <w:bookmarkEnd w:id="5"/>
      <w:r>
        <w:rPr>
          <w:rFonts w:ascii="Times New Roman" w:eastAsia="Times New Roman" w:hAnsi="Times New Roman" w:cs="Times New Roman"/>
          <w:b/>
          <w:i w:val="0"/>
          <w:sz w:val="20"/>
        </w:rPr>
        <w:t>ASURE SOFTWARE, INC.</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 xml:space="preserve">CONDENSED CONSOLIDATED STATEMENTS OF COMPREHENSIVE </w:t>
      </w:r>
      <w:r>
        <w:rPr>
          <w:rFonts w:ascii="Times New Roman" w:eastAsia="Times New Roman" w:hAnsi="Times New Roman" w:cs="Times New Roman"/>
          <w:b/>
          <w:i w:val="0"/>
          <w:color w:val="000000"/>
          <w:sz w:val="20"/>
          <w:u w:val="none"/>
        </w:rPr>
        <w:t>LOSS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(in thousands, except per share amounts)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(Unaudited)</w:t>
      </w:r>
    </w:p>
    <w:tbl>
      <w:tblPr>
        <w:tblStyle w:val="TableNormal0"/>
        <w:tblW w:w="9915" w:type="dxa"/>
        <w:jc w:val="left"/>
        <w:tblInd w:w="0" w:type="dxa"/>
        <w:tblLayout w:type="fixed"/>
      </w:tblPr>
      <w:tblGrid>
        <w:gridCol w:w="4860"/>
        <w:gridCol w:w="1140"/>
        <w:gridCol w:w="75"/>
        <w:gridCol w:w="1140"/>
        <w:gridCol w:w="345"/>
        <w:gridCol w:w="1140"/>
        <w:gridCol w:w="75"/>
        <w:gridCol w:w="1140"/>
      </w:tblGrid>
      <w:tr>
        <w:tblPrEx>
          <w:tblW w:w="9915" w:type="dxa"/>
          <w:tblInd w:w="0" w:type="dxa"/>
          <w:tblLayout w:type="fixed"/>
        </w:tblPrEx>
        <w:trPr>
          <w:trHeight w:hRule="exact" w:val="480"/>
        </w:trPr>
        <w:tc>
          <w:tcPr>
            <w:tcW w:w="48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55" w:type="dxa"/>
            <w:gridSpan w:val="3"/>
            <w:tcBorders>
              <w:top w:val="nil"/>
              <w:left w:val="nil"/>
              <w:bottom w:val="nil"/>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20"/>
                <w:u w:val="none"/>
              </w:rPr>
              <w:t>Three Months Ended September 30,</w:t>
            </w:r>
          </w:p>
        </w:tc>
        <w:tc>
          <w:tcPr>
            <w:tcW w:w="3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355" w:type="dxa"/>
            <w:gridSpan w:val="3"/>
            <w:tcBorders>
              <w:top w:val="nil"/>
              <w:left w:val="nil"/>
              <w:bottom w:val="nil"/>
              <w:right w:val="nil"/>
            </w:tcBorders>
            <w:tcMar>
              <w:top w:w="0" w:type="dxa"/>
              <w:left w:w="53" w:type="dxa"/>
              <w:bottom w:w="0" w:type="dxa"/>
              <w:right w:w="53" w:type="dxa"/>
            </w:tcMar>
            <w:vAlign w:val="bottom"/>
          </w:tcPr>
          <w:p>
            <w:pPr>
              <w:keepNext/>
              <w:pageBreakBefore w:val="0"/>
              <w:spacing w:before="53" w:line="288" w:lineRule="auto"/>
              <w:jc w:val="center"/>
            </w:pPr>
            <w:r>
              <w:rPr>
                <w:rFonts w:ascii="Times New Roman" w:eastAsia="Times New Roman" w:hAnsi="Times New Roman" w:cs="Times New Roman"/>
                <w:b/>
                <w:i w:val="0"/>
                <w:color w:val="000000"/>
                <w:sz w:val="20"/>
                <w:u w:val="none"/>
              </w:rPr>
              <w:t>Nine Months Ended</w:t>
            </w:r>
          </w:p>
          <w:p>
            <w:pPr>
              <w:spacing w:after="30" w:line="288" w:lineRule="auto"/>
              <w:jc w:val="center"/>
            </w:pPr>
            <w:r>
              <w:rPr>
                <w:rFonts w:ascii="Times New Roman" w:eastAsia="Times New Roman" w:hAnsi="Times New Roman" w:cs="Times New Roman"/>
                <w:b/>
                <w:i w:val="0"/>
                <w:color w:val="000000"/>
                <w:sz w:val="20"/>
                <w:u w:val="none"/>
              </w:rPr>
              <w:t>September 30,</w:t>
            </w:r>
          </w:p>
        </w:tc>
      </w:tr>
      <w:tr>
        <w:tblPrEx>
          <w:tblW w:w="9915" w:type="dxa"/>
          <w:tblInd w:w="0" w:type="dxa"/>
          <w:tblLayout w:type="fixed"/>
        </w:tblPrEx>
        <w:trPr>
          <w:trHeight w:hRule="exact" w:val="300"/>
        </w:trPr>
        <w:tc>
          <w:tcPr>
            <w:tcW w:w="48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88"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88" w:lineRule="auto"/>
              <w:jc w:val="center"/>
            </w:pPr>
            <w:r>
              <w:rPr>
                <w:rFonts w:ascii="Times New Roman" w:eastAsia="Times New Roman" w:hAnsi="Times New Roman" w:cs="Times New Roman"/>
                <w:b/>
                <w:i w:val="0"/>
                <w:color w:val="000000"/>
                <w:sz w:val="20"/>
                <w:u w:val="none"/>
              </w:rPr>
              <w:t>2025</w:t>
            </w:r>
          </w:p>
        </w:tc>
        <w:tc>
          <w:tcPr>
            <w:tcW w:w="3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88"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88" w:lineRule="auto"/>
              <w:jc w:val="center"/>
            </w:pPr>
            <w:r>
              <w:rPr>
                <w:rFonts w:ascii="Times New Roman" w:eastAsia="Times New Roman" w:hAnsi="Times New Roman" w:cs="Times New Roman"/>
                <w:b/>
                <w:i w:val="0"/>
                <w:color w:val="000000"/>
                <w:sz w:val="20"/>
                <w:u w:val="none"/>
              </w:rPr>
              <w:t>2025</w:t>
            </w:r>
          </w:p>
        </w:tc>
      </w:tr>
      <w:tr>
        <w:tblPrEx>
          <w:tblW w:w="9915" w:type="dxa"/>
          <w:tblInd w:w="0" w:type="dxa"/>
          <w:tblLayout w:type="fixed"/>
        </w:tblPrEx>
        <w:trPr>
          <w:trHeight w:hRule="exact" w:val="285"/>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20"/>
                <w:u w:val="none"/>
              </w:rPr>
              <w:t>Revenue:</w:t>
            </w: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Recurring</w:t>
            </w: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w:t>
              <w:tab/>
              <w:t>36,912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w:t>
              <w:tab/>
              <w:t>31,841</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357"/>
                <w:tab w:val="left" w:pos="1072"/>
              </w:tabs>
              <w:spacing w:before="53" w:after="30" w:line="288" w:lineRule="auto"/>
              <w:jc w:val="right"/>
            </w:pPr>
            <w:r>
              <w:rPr>
                <w:rFonts w:ascii="Times New Roman" w:eastAsia="Times New Roman" w:hAnsi="Times New Roman" w:cs="Times New Roman"/>
                <w:b w:val="0"/>
                <w:i w:val="0"/>
                <w:color w:val="000000"/>
                <w:sz w:val="20"/>
                <w:u w:val="none"/>
              </w:rPr>
              <w:t>$</w:t>
              <w:tab/>
              <w:t>108,627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w:t>
              <w:tab/>
              <w:t>93,624</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Professional services, hardware and other</w:t>
            </w: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3,110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4,411</w:t>
              <w:tab/>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11,265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7,606</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20"/>
                <w:u w:val="none"/>
              </w:rPr>
              <w:t>Total revenue</w:t>
            </w:r>
          </w:p>
        </w:tc>
        <w:tc>
          <w:tcPr>
            <w:tcW w:w="114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40,022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36,252</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357"/>
                <w:tab w:val="left" w:pos="1072"/>
              </w:tabs>
              <w:spacing w:before="33" w:after="30" w:line="288" w:lineRule="auto"/>
              <w:jc w:val="right"/>
            </w:pPr>
            <w:r>
              <w:rPr>
                <w:rFonts w:ascii="Times New Roman" w:eastAsia="Times New Roman" w:hAnsi="Times New Roman" w:cs="Times New Roman"/>
                <w:b w:val="0"/>
                <w:i w:val="0"/>
                <w:color w:val="000000"/>
                <w:sz w:val="20"/>
                <w:u w:val="none"/>
              </w:rPr>
              <w:tab/>
              <w:t>119,892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357"/>
                <w:tab w:val="left" w:pos="1072"/>
              </w:tabs>
              <w:spacing w:before="33" w:after="30" w:line="288" w:lineRule="auto"/>
              <w:jc w:val="right"/>
            </w:pPr>
            <w:r>
              <w:rPr>
                <w:rFonts w:ascii="Times New Roman" w:eastAsia="Times New Roman" w:hAnsi="Times New Roman" w:cs="Times New Roman"/>
                <w:b w:val="0"/>
                <w:i w:val="0"/>
                <w:color w:val="000000"/>
                <w:sz w:val="20"/>
                <w:u w:val="none"/>
              </w:rPr>
              <w:tab/>
              <w:t>101,230</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20"/>
                <w:u w:val="none"/>
              </w:rPr>
              <w:t>Cost of sales</w:t>
            </w: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12,178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12,714</w:t>
              <w:tab/>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36,523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33,058</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ind w:left="345"/>
              <w:jc w:val="left"/>
            </w:pPr>
            <w:r>
              <w:rPr>
                <w:rFonts w:ascii="Times New Roman" w:eastAsia="Times New Roman" w:hAnsi="Times New Roman" w:cs="Times New Roman"/>
                <w:b w:val="0"/>
                <w:i w:val="0"/>
                <w:color w:val="000000"/>
                <w:sz w:val="20"/>
                <w:u w:val="none"/>
              </w:rPr>
              <w:t>Gross profit</w:t>
            </w: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27,844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23,538</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83,369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68,172</w:t>
              <w:tab/>
            </w:r>
          </w:p>
        </w:tc>
      </w:tr>
      <w:tr>
        <w:tblPrEx>
          <w:tblW w:w="9915" w:type="dxa"/>
          <w:tblInd w:w="0" w:type="dxa"/>
          <w:tblLayout w:type="fixed"/>
        </w:tblPrEx>
        <w:trPr>
          <w:trHeight w:hRule="exact" w:val="285"/>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20"/>
                <w:u w:val="none"/>
              </w:rPr>
              <w:t>Operating expenses:</w:t>
            </w: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Sales and marketing</w:t>
            </w: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8,925</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9,043</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26,787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25,578</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General and administrative</w:t>
            </w: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12,540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11,655</w:t>
              <w:tab/>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37,387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34,523</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Research and development</w:t>
            </w: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1,677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1,570</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4,899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4,987</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Amortization of intangible assets</w:t>
            </w: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4,187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4,769</w:t>
              <w:tab/>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13,848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13,250</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20"/>
                <w:u w:val="none"/>
              </w:rPr>
              <w:t>Total operating expenses</w:t>
            </w: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27,329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27,037</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82,921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457"/>
                <w:tab w:val="left" w:pos="1072"/>
              </w:tabs>
              <w:spacing w:before="33" w:after="30" w:line="288" w:lineRule="auto"/>
              <w:jc w:val="right"/>
            </w:pPr>
            <w:r>
              <w:rPr>
                <w:rFonts w:ascii="Times New Roman" w:eastAsia="Times New Roman" w:hAnsi="Times New Roman" w:cs="Times New Roman"/>
                <w:b w:val="0"/>
                <w:i w:val="0"/>
                <w:color w:val="000000"/>
                <w:sz w:val="20"/>
                <w:u w:val="none"/>
              </w:rPr>
              <w:tab/>
              <w:t>78,338</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Income (loss) from operations</w:t>
            </w: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7"/>
                <w:tab w:val="left" w:pos="1072"/>
              </w:tabs>
              <w:spacing w:before="33" w:after="30" w:line="288" w:lineRule="auto"/>
              <w:jc w:val="right"/>
            </w:pPr>
            <w:r>
              <w:rPr>
                <w:rFonts w:ascii="Times New Roman" w:eastAsia="Times New Roman" w:hAnsi="Times New Roman" w:cs="Times New Roman"/>
                <w:b w:val="0"/>
                <w:i w:val="0"/>
                <w:color w:val="000000"/>
                <w:sz w:val="20"/>
                <w:u w:val="none"/>
              </w:rPr>
              <w:tab/>
              <w:t>515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ab/>
              <w:t>(3,499)</w:t>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7"/>
                <w:tab w:val="left" w:pos="1072"/>
              </w:tabs>
              <w:spacing w:before="33" w:after="30" w:line="288" w:lineRule="auto"/>
              <w:jc w:val="right"/>
            </w:pPr>
            <w:r>
              <w:rPr>
                <w:rFonts w:ascii="Times New Roman" w:eastAsia="Times New Roman" w:hAnsi="Times New Roman" w:cs="Times New Roman"/>
                <w:b w:val="0"/>
                <w:i w:val="0"/>
                <w:color w:val="000000"/>
                <w:sz w:val="20"/>
                <w:u w:val="none"/>
              </w:rPr>
              <w:tab/>
              <w:t>448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71"/>
              </w:tabs>
              <w:spacing w:before="33" w:after="30" w:line="288" w:lineRule="auto"/>
              <w:jc w:val="right"/>
            </w:pPr>
            <w:r>
              <w:rPr>
                <w:rFonts w:ascii="Times New Roman" w:eastAsia="Times New Roman" w:hAnsi="Times New Roman" w:cs="Times New Roman"/>
                <w:b w:val="0"/>
                <w:i w:val="0"/>
                <w:color w:val="000000"/>
                <w:sz w:val="20"/>
                <w:u w:val="none"/>
              </w:rPr>
              <w:tab/>
              <w:t>(10,166)</w:t>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Interest income</w:t>
            </w: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40" w:lineRule="auto"/>
              <w:jc w:val="right"/>
            </w:pPr>
            <w:r>
              <w:rPr>
                <w:rFonts w:ascii="Times New Roman" w:eastAsia="Times New Roman" w:hAnsi="Times New Roman" w:cs="Times New Roman"/>
                <w:b w:val="0"/>
                <w:i w:val="0"/>
                <w:color w:val="000000"/>
                <w:sz w:val="20"/>
                <w:u w:val="none"/>
              </w:rPr>
              <w:tab/>
              <w:t>178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40" w:lineRule="auto"/>
              <w:jc w:val="right"/>
            </w:pPr>
            <w:r>
              <w:rPr>
                <w:rFonts w:ascii="Times New Roman" w:eastAsia="Times New Roman" w:hAnsi="Times New Roman" w:cs="Times New Roman"/>
                <w:b w:val="0"/>
                <w:i w:val="0"/>
                <w:color w:val="000000"/>
                <w:sz w:val="20"/>
                <w:u w:val="none"/>
              </w:rPr>
              <w:tab/>
              <w:t>250</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40" w:lineRule="auto"/>
              <w:jc w:val="right"/>
            </w:pPr>
            <w:r>
              <w:rPr>
                <w:rFonts w:ascii="Times New Roman" w:eastAsia="Times New Roman" w:hAnsi="Times New Roman" w:cs="Times New Roman"/>
                <w:b w:val="0"/>
                <w:i w:val="0"/>
                <w:color w:val="000000"/>
                <w:sz w:val="20"/>
                <w:u w:val="none"/>
              </w:rPr>
              <w:tab/>
              <w:t>532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40" w:lineRule="auto"/>
              <w:jc w:val="right"/>
            </w:pPr>
            <w:r>
              <w:rPr>
                <w:rFonts w:ascii="Times New Roman" w:eastAsia="Times New Roman" w:hAnsi="Times New Roman" w:cs="Times New Roman"/>
                <w:b w:val="0"/>
                <w:i w:val="0"/>
                <w:color w:val="000000"/>
                <w:sz w:val="20"/>
                <w:u w:val="none"/>
              </w:rPr>
              <w:tab/>
              <w:t>698</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Interest expense</w:t>
            </w: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53" w:after="30" w:line="288" w:lineRule="auto"/>
              <w:jc w:val="right"/>
            </w:pPr>
            <w:r>
              <w:rPr>
                <w:rFonts w:ascii="Times New Roman" w:eastAsia="Times New Roman" w:hAnsi="Times New Roman" w:cs="Times New Roman"/>
                <w:b w:val="0"/>
                <w:i w:val="0"/>
                <w:color w:val="000000"/>
                <w:sz w:val="20"/>
                <w:u w:val="none"/>
              </w:rPr>
              <w:tab/>
              <w:t>(1,762)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53" w:after="30" w:line="288" w:lineRule="auto"/>
              <w:jc w:val="right"/>
            </w:pPr>
            <w:r>
              <w:rPr>
                <w:rFonts w:ascii="Times New Roman" w:eastAsia="Times New Roman" w:hAnsi="Times New Roman" w:cs="Times New Roman"/>
                <w:b w:val="0"/>
                <w:i w:val="0"/>
                <w:color w:val="000000"/>
                <w:sz w:val="20"/>
                <w:u w:val="none"/>
              </w:rPr>
              <w:tab/>
              <w:t>(1,966)</w:t>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53" w:after="30" w:line="288" w:lineRule="auto"/>
              <w:jc w:val="right"/>
            </w:pPr>
            <w:r>
              <w:rPr>
                <w:rFonts w:ascii="Times New Roman" w:eastAsia="Times New Roman" w:hAnsi="Times New Roman" w:cs="Times New Roman"/>
                <w:b w:val="0"/>
                <w:i w:val="0"/>
                <w:color w:val="000000"/>
                <w:sz w:val="20"/>
                <w:u w:val="none"/>
              </w:rPr>
              <w:tab/>
              <w:t>(5,261)</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53" w:after="30" w:line="288" w:lineRule="auto"/>
              <w:jc w:val="right"/>
            </w:pPr>
            <w:r>
              <w:rPr>
                <w:rFonts w:ascii="Times New Roman" w:eastAsia="Times New Roman" w:hAnsi="Times New Roman" w:cs="Times New Roman"/>
                <w:b w:val="0"/>
                <w:i w:val="0"/>
                <w:color w:val="000000"/>
                <w:sz w:val="20"/>
                <w:u w:val="none"/>
              </w:rPr>
              <w:tab/>
              <w:t>(3,226)</w:t>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Other income, net</w:t>
            </w: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907"/>
                <w:tab w:val="left" w:pos="1072"/>
              </w:tabs>
              <w:spacing w:before="53" w:after="30" w:line="240" w:lineRule="auto"/>
              <w:jc w:val="right"/>
            </w:pPr>
            <w:r>
              <w:rPr>
                <w:rFonts w:ascii="Times New Roman" w:eastAsia="Times New Roman" w:hAnsi="Times New Roman" w:cs="Times New Roman"/>
                <w:b w:val="0"/>
                <w:i w:val="0"/>
                <w:color w:val="000000"/>
                <w:sz w:val="20"/>
                <w:u w:val="none"/>
              </w:rPr>
              <w:tab/>
              <w:t>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40" w:lineRule="auto"/>
              <w:jc w:val="right"/>
            </w:pPr>
            <w:r>
              <w:rPr>
                <w:rFonts w:ascii="Times New Roman" w:eastAsia="Times New Roman" w:hAnsi="Times New Roman" w:cs="Times New Roman"/>
                <w:b w:val="0"/>
                <w:i w:val="0"/>
                <w:color w:val="000000"/>
                <w:sz w:val="20"/>
                <w:u w:val="none"/>
              </w:rPr>
              <w:tab/>
              <w:t>220</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907"/>
                <w:tab w:val="left" w:pos="1072"/>
              </w:tabs>
              <w:spacing w:before="53" w:after="30" w:line="240" w:lineRule="auto"/>
              <w:jc w:val="right"/>
            </w:pPr>
            <w:r>
              <w:rPr>
                <w:rFonts w:ascii="Times New Roman" w:eastAsia="Times New Roman" w:hAnsi="Times New Roman" w:cs="Times New Roman"/>
                <w:b w:val="0"/>
                <w:i w:val="0"/>
                <w:color w:val="000000"/>
                <w:sz w:val="20"/>
                <w:u w:val="none"/>
              </w:rPr>
              <w:tab/>
              <w:t>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40" w:lineRule="auto"/>
              <w:jc w:val="right"/>
            </w:pPr>
            <w:r>
              <w:rPr>
                <w:rFonts w:ascii="Times New Roman" w:eastAsia="Times New Roman" w:hAnsi="Times New Roman" w:cs="Times New Roman"/>
                <w:b w:val="0"/>
                <w:i w:val="0"/>
                <w:color w:val="000000"/>
                <w:sz w:val="20"/>
                <w:u w:val="none"/>
              </w:rPr>
              <w:tab/>
              <w:t>312</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Loss from operations before income taxes</w:t>
            </w: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ab/>
              <w:t>(1,060)</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ab/>
              <w:t>(4,995)</w:t>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ab/>
              <w:t>(4,272)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71"/>
              </w:tabs>
              <w:spacing w:before="33" w:after="30" w:line="288" w:lineRule="auto"/>
              <w:jc w:val="right"/>
            </w:pPr>
            <w:r>
              <w:rPr>
                <w:rFonts w:ascii="Times New Roman" w:eastAsia="Times New Roman" w:hAnsi="Times New Roman" w:cs="Times New Roman"/>
                <w:b w:val="0"/>
                <w:i w:val="0"/>
                <w:color w:val="000000"/>
                <w:sz w:val="20"/>
                <w:u w:val="none"/>
              </w:rPr>
              <w:tab/>
              <w:t>(12,382)</w:t>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jc w:val="left"/>
            </w:pPr>
            <w:r>
              <w:rPr>
                <w:rFonts w:ascii="Times New Roman" w:eastAsia="Times New Roman" w:hAnsi="Times New Roman" w:cs="Times New Roman"/>
                <w:b w:val="0"/>
                <w:i w:val="0"/>
                <w:color w:val="000000"/>
                <w:sz w:val="20"/>
                <w:u w:val="none"/>
              </w:rPr>
              <w:t>Income tax expense (benefit)</w:t>
            </w: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s>
              <w:spacing w:before="53" w:after="30" w:line="288" w:lineRule="auto"/>
              <w:jc w:val="right"/>
            </w:pPr>
            <w:r>
              <w:rPr>
                <w:rFonts w:ascii="Times New Roman" w:eastAsia="Times New Roman" w:hAnsi="Times New Roman" w:cs="Times New Roman"/>
                <w:b w:val="0"/>
                <w:i w:val="0"/>
                <w:color w:val="000000"/>
                <w:sz w:val="20"/>
                <w:u w:val="none"/>
              </w:rPr>
              <w:tab/>
              <w:t>(456)</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88" w:lineRule="auto"/>
              <w:jc w:val="right"/>
            </w:pPr>
            <w:r>
              <w:rPr>
                <w:rFonts w:ascii="Times New Roman" w:eastAsia="Times New Roman" w:hAnsi="Times New Roman" w:cs="Times New Roman"/>
                <w:b w:val="0"/>
                <w:i w:val="0"/>
                <w:color w:val="000000"/>
                <w:sz w:val="20"/>
                <w:u w:val="none"/>
              </w:rPr>
              <w:tab/>
              <w:t>367</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07"/>
                <w:tab w:val="left" w:pos="1072"/>
              </w:tabs>
              <w:spacing w:before="53" w:after="30" w:line="288" w:lineRule="auto"/>
              <w:jc w:val="right"/>
            </w:pPr>
            <w:r>
              <w:rPr>
                <w:rFonts w:ascii="Times New Roman" w:eastAsia="Times New Roman" w:hAnsi="Times New Roman" w:cs="Times New Roman"/>
                <w:b w:val="0"/>
                <w:i w:val="0"/>
                <w:color w:val="000000"/>
                <w:sz w:val="20"/>
                <w:u w:val="none"/>
              </w:rPr>
              <w:tab/>
              <w:t>150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557"/>
                <w:tab w:val="left" w:pos="1072"/>
              </w:tabs>
              <w:spacing w:before="53" w:after="30" w:line="288" w:lineRule="auto"/>
              <w:jc w:val="right"/>
            </w:pPr>
            <w:r>
              <w:rPr>
                <w:rFonts w:ascii="Times New Roman" w:eastAsia="Times New Roman" w:hAnsi="Times New Roman" w:cs="Times New Roman"/>
                <w:b w:val="0"/>
                <w:i w:val="0"/>
                <w:color w:val="000000"/>
                <w:sz w:val="20"/>
                <w:u w:val="none"/>
              </w:rPr>
              <w:tab/>
              <w:t>1,501</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Net loss</w:t>
            </w: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s>
              <w:spacing w:before="33" w:after="30" w:line="288" w:lineRule="auto"/>
              <w:jc w:val="right"/>
            </w:pPr>
            <w:r>
              <w:rPr>
                <w:rFonts w:ascii="Times New Roman" w:eastAsia="Times New Roman" w:hAnsi="Times New Roman" w:cs="Times New Roman"/>
                <w:b w:val="0"/>
                <w:i w:val="0"/>
                <w:color w:val="000000"/>
                <w:sz w:val="20"/>
                <w:u w:val="none"/>
              </w:rPr>
              <w:tab/>
              <w:t>(604)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ab/>
              <w:t>(5,362)</w:t>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ab/>
              <w:t>(4,422)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71"/>
              </w:tabs>
              <w:spacing w:before="33" w:after="30" w:line="288" w:lineRule="auto"/>
              <w:jc w:val="right"/>
            </w:pPr>
            <w:r>
              <w:rPr>
                <w:rFonts w:ascii="Times New Roman" w:eastAsia="Times New Roman" w:hAnsi="Times New Roman" w:cs="Times New Roman"/>
                <w:b w:val="0"/>
                <w:i w:val="0"/>
                <w:color w:val="000000"/>
                <w:sz w:val="20"/>
                <w:u w:val="none"/>
              </w:rPr>
              <w:tab/>
              <w:t>(13,883)</w:t>
            </w:r>
          </w:p>
        </w:tc>
      </w:tr>
      <w:tr>
        <w:tblPrEx>
          <w:tblW w:w="9915" w:type="dxa"/>
          <w:tblInd w:w="0" w:type="dxa"/>
          <w:tblLayout w:type="fixed"/>
        </w:tblPrEx>
        <w:trPr>
          <w:trHeight w:hRule="exact" w:val="285"/>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Other comprehensive loss:</w:t>
            </w: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jc w:val="left"/>
            </w:pPr>
            <w:r>
              <w:rPr>
                <w:rFonts w:ascii="Times New Roman" w:eastAsia="Times New Roman" w:hAnsi="Times New Roman" w:cs="Times New Roman"/>
                <w:b w:val="0"/>
                <w:i w:val="0"/>
                <w:color w:val="000000"/>
                <w:sz w:val="20"/>
                <w:u w:val="none"/>
              </w:rPr>
              <w:t>Unrealized gain (loss) on marketable securities</w:t>
            </w: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71"/>
              </w:tabs>
              <w:spacing w:before="53" w:after="30" w:line="288" w:lineRule="auto"/>
              <w:jc w:val="right"/>
            </w:pPr>
            <w:r>
              <w:rPr>
                <w:rFonts w:ascii="Times New Roman" w:eastAsia="Times New Roman" w:hAnsi="Times New Roman" w:cs="Times New Roman"/>
                <w:b w:val="0"/>
                <w:i w:val="0"/>
                <w:color w:val="000000"/>
                <w:sz w:val="20"/>
                <w:u w:val="none"/>
              </w:rPr>
              <w:tab/>
              <w:t>(1,668)</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07"/>
                <w:tab w:val="left" w:pos="1072"/>
              </w:tabs>
              <w:spacing w:before="53" w:after="30" w:line="288" w:lineRule="auto"/>
              <w:jc w:val="right"/>
            </w:pPr>
            <w:r>
              <w:rPr>
                <w:rFonts w:ascii="Times New Roman" w:eastAsia="Times New Roman" w:hAnsi="Times New Roman" w:cs="Times New Roman"/>
                <w:b w:val="0"/>
                <w:i w:val="0"/>
                <w:color w:val="000000"/>
                <w:sz w:val="20"/>
                <w:u w:val="none"/>
              </w:rPr>
              <w:tab/>
              <w:t>237</w:t>
              <w:tab/>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71"/>
              </w:tabs>
              <w:spacing w:before="53" w:after="30" w:line="288" w:lineRule="auto"/>
              <w:jc w:val="right"/>
            </w:pPr>
            <w:r>
              <w:rPr>
                <w:rFonts w:ascii="Times New Roman" w:eastAsia="Times New Roman" w:hAnsi="Times New Roman" w:cs="Times New Roman"/>
                <w:b w:val="0"/>
                <w:i w:val="0"/>
                <w:color w:val="000000"/>
                <w:sz w:val="20"/>
                <w:u w:val="none"/>
              </w:rPr>
              <w:tab/>
              <w:t>(2,518)</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07"/>
                <w:tab w:val="left" w:pos="1072"/>
              </w:tabs>
              <w:spacing w:before="53" w:after="30" w:line="288" w:lineRule="auto"/>
              <w:jc w:val="right"/>
            </w:pPr>
            <w:r>
              <w:rPr>
                <w:rFonts w:ascii="Times New Roman" w:eastAsia="Times New Roman" w:hAnsi="Times New Roman" w:cs="Times New Roman"/>
                <w:b w:val="0"/>
                <w:i w:val="0"/>
                <w:color w:val="000000"/>
                <w:sz w:val="20"/>
                <w:u w:val="none"/>
              </w:rPr>
              <w:tab/>
              <w:t>907</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Comprehensive loss</w:t>
            </w:r>
          </w:p>
        </w:tc>
        <w:tc>
          <w:tcPr>
            <w:tcW w:w="114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w:t>
              <w:tab/>
              <w:t>(2,272)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w:t>
              <w:tab/>
              <w:t>(5,125)</w:t>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71"/>
              </w:tabs>
              <w:spacing w:before="33" w:after="30" w:line="288" w:lineRule="auto"/>
              <w:jc w:val="right"/>
            </w:pPr>
            <w:r>
              <w:rPr>
                <w:rFonts w:ascii="Times New Roman" w:eastAsia="Times New Roman" w:hAnsi="Times New Roman" w:cs="Times New Roman"/>
                <w:b w:val="0"/>
                <w:i w:val="0"/>
                <w:color w:val="000000"/>
                <w:sz w:val="20"/>
                <w:u w:val="none"/>
              </w:rPr>
              <w:t>$</w:t>
              <w:tab/>
              <w:t>(6,940)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371"/>
              </w:tabs>
              <w:spacing w:before="33" w:after="30" w:line="288" w:lineRule="auto"/>
              <w:jc w:val="right"/>
            </w:pPr>
            <w:r>
              <w:rPr>
                <w:rFonts w:ascii="Times New Roman" w:eastAsia="Times New Roman" w:hAnsi="Times New Roman" w:cs="Times New Roman"/>
                <w:b w:val="0"/>
                <w:i w:val="0"/>
                <w:color w:val="000000"/>
                <w:sz w:val="20"/>
                <w:u w:val="none"/>
              </w:rPr>
              <w:t>$</w:t>
              <w:tab/>
              <w:t>(12,976)</w:t>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285"/>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Basic and diluted loss per share</w:t>
            </w: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Basic</w:t>
            </w: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(0.02)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(0.19)</w:t>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(0.15)</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(0.51)</w:t>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Diluted</w:t>
            </w: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(0.02)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(0.19)</w:t>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(0.15)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1"/>
              </w:tabs>
              <w:spacing w:before="53" w:after="30" w:line="288" w:lineRule="auto"/>
              <w:jc w:val="right"/>
            </w:pPr>
            <w:r>
              <w:rPr>
                <w:rFonts w:ascii="Times New Roman" w:eastAsia="Times New Roman" w:hAnsi="Times New Roman" w:cs="Times New Roman"/>
                <w:b w:val="0"/>
                <w:i w:val="0"/>
                <w:color w:val="000000"/>
                <w:sz w:val="20"/>
                <w:u w:val="none"/>
              </w:rPr>
              <w:t>$</w:t>
              <w:tab/>
              <w:t>(0.51)</w:t>
            </w:r>
          </w:p>
        </w:tc>
      </w:tr>
      <w:tr>
        <w:tblPrEx>
          <w:tblW w:w="9915" w:type="dxa"/>
          <w:tblInd w:w="0" w:type="dxa"/>
          <w:tblLayout w:type="fixed"/>
        </w:tblPrEx>
        <w:trPr>
          <w:trHeight w:hRule="exact" w:val="285"/>
        </w:trPr>
        <w:tc>
          <w:tcPr>
            <w:tcW w:w="48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285"/>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20"/>
                <w:u w:val="none"/>
              </w:rPr>
              <w:t>Weighted average basic and diluted shares</w:t>
            </w: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60"/>
              <w:jc w:val="left"/>
            </w:pPr>
            <w:r>
              <w:rPr>
                <w:rFonts w:ascii="Times New Roman" w:eastAsia="Times New Roman" w:hAnsi="Times New Roman" w:cs="Times New Roman"/>
                <w:b w:val="0"/>
                <w:i w:val="0"/>
                <w:color w:val="000000"/>
                <w:sz w:val="20"/>
                <w:u w:val="none"/>
              </w:rPr>
              <w:t>Basic</w:t>
            </w: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28,890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27,566</w:t>
              <w:tab/>
            </w:r>
          </w:p>
        </w:tc>
        <w:tc>
          <w:tcPr>
            <w:tcW w:w="3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28,688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1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27,257</w:t>
              <w:tab/>
            </w:r>
          </w:p>
        </w:tc>
      </w:tr>
      <w:tr>
        <w:tblPrEx>
          <w:tblW w:w="9915" w:type="dxa"/>
          <w:tblInd w:w="0" w:type="dxa"/>
          <w:tblLayout w:type="fixed"/>
        </w:tblPrEx>
        <w:trPr>
          <w:trHeight w:hRule="exact" w:val="300"/>
        </w:trPr>
        <w:tc>
          <w:tcPr>
            <w:tcW w:w="4860"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53" w:after="30" w:line="288" w:lineRule="auto"/>
              <w:ind w:left="360"/>
              <w:jc w:val="left"/>
            </w:pPr>
            <w:r>
              <w:rPr>
                <w:rFonts w:ascii="Times New Roman" w:eastAsia="Times New Roman" w:hAnsi="Times New Roman" w:cs="Times New Roman"/>
                <w:b w:val="0"/>
                <w:i w:val="0"/>
                <w:color w:val="000000"/>
                <w:sz w:val="20"/>
                <w:u w:val="none"/>
              </w:rPr>
              <w:t>Diluted</w:t>
            </w: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28,890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27,566</w:t>
              <w:tab/>
            </w:r>
          </w:p>
        </w:tc>
        <w:tc>
          <w:tcPr>
            <w:tcW w:w="34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28,688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140"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457"/>
                <w:tab w:val="left" w:pos="1072"/>
              </w:tabs>
              <w:spacing w:before="53" w:after="30" w:line="288" w:lineRule="auto"/>
              <w:jc w:val="right"/>
            </w:pPr>
            <w:r>
              <w:rPr>
                <w:rFonts w:ascii="Times New Roman" w:eastAsia="Times New Roman" w:hAnsi="Times New Roman" w:cs="Times New Roman"/>
                <w:b w:val="0"/>
                <w:i w:val="0"/>
                <w:color w:val="000000"/>
                <w:sz w:val="20"/>
                <w:u w:val="none"/>
              </w:rPr>
              <w:tab/>
              <w:t>27,257</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accompanying notes are an integral part of these Condensed Consolidated Financial Statements.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center"/>
        <w:outlineLvl w:val="2"/>
        <w:rPr>
          <w:rFonts w:ascii="Times New Roman" w:eastAsia="Times New Roman" w:hAnsi="Times New Roman" w:cs="Times New Roman"/>
          <w:b/>
          <w:i w:val="0"/>
          <w:sz w:val="20"/>
        </w:rPr>
      </w:pPr>
      <w:bookmarkStart w:id="6" w:name="Section7"/>
      <w:bookmarkEnd w:id="6"/>
      <w:r>
        <w:rPr>
          <w:rFonts w:ascii="Times New Roman" w:eastAsia="Times New Roman" w:hAnsi="Times New Roman" w:cs="Times New Roman"/>
          <w:b/>
          <w:i w:val="0"/>
          <w:sz w:val="20"/>
        </w:rPr>
        <w:t>ASURE SOFTWARE, INC.</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CONDENSED CONSOLIDATED STATEMENTS OF CHANGES IN STOCKHOLDERS’ EQUITY</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(in thousands)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(Unaudited)</w:t>
      </w:r>
    </w:p>
    <w:tbl>
      <w:tblPr>
        <w:tblStyle w:val="TableNormal0"/>
        <w:tblW w:w="10800" w:type="dxa"/>
        <w:jc w:val="left"/>
        <w:tblInd w:w="0" w:type="dxa"/>
        <w:tblLayout w:type="fixed"/>
      </w:tblPr>
      <w:tblGrid>
        <w:gridCol w:w="3300"/>
        <w:gridCol w:w="960"/>
        <w:gridCol w:w="75"/>
        <w:gridCol w:w="900"/>
        <w:gridCol w:w="75"/>
        <w:gridCol w:w="900"/>
        <w:gridCol w:w="75"/>
        <w:gridCol w:w="1005"/>
        <w:gridCol w:w="75"/>
        <w:gridCol w:w="1020"/>
        <w:gridCol w:w="75"/>
        <w:gridCol w:w="1200"/>
        <w:gridCol w:w="75"/>
        <w:gridCol w:w="1065"/>
      </w:tblGrid>
      <w:tr>
        <w:tblPrEx>
          <w:tblW w:w="10800" w:type="dxa"/>
          <w:tblInd w:w="0" w:type="dxa"/>
          <w:tblLayout w:type="fixed"/>
        </w:tblPrEx>
        <w:trPr>
          <w:trHeight w:hRule="exact" w:val="615"/>
        </w:trPr>
        <w:tc>
          <w:tcPr>
            <w:tcW w:w="330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9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Common Stock Outstanding</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Common Stock Amount</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Treasury Stock</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0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Additional Paid-in Capital</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Accumulated Deficit</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Other Comprehensive Income (Loss)</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Total Stockholders’ Equity</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6"/>
                <w:u w:val="none"/>
              </w:rPr>
              <w:t>Balance at December 31, 2025</w:t>
            </w: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28,076</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281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517,432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(320,352)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841"/>
                <w:tab w:val="left" w:pos="1132"/>
              </w:tabs>
              <w:spacing w:before="33" w:after="30" w:line="240" w:lineRule="auto"/>
              <w:jc w:val="right"/>
            </w:pPr>
            <w:r>
              <w:rPr>
                <w:rFonts w:ascii="Times New Roman" w:eastAsia="Times New Roman" w:hAnsi="Times New Roman" w:cs="Times New Roman"/>
                <w:b w:val="0"/>
                <w:i w:val="0"/>
                <w:color w:val="000000"/>
                <w:sz w:val="16"/>
                <w:u w:val="none"/>
              </w:rPr>
              <w:t>$</w:t>
              <w:tab/>
              <w:t>435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197,796</w:t>
              <w:tab/>
            </w:r>
          </w:p>
        </w:tc>
      </w:tr>
      <w:tr>
        <w:tblPrEx>
          <w:tblW w:w="10800" w:type="dxa"/>
          <w:tblInd w:w="0" w:type="dxa"/>
          <w:tblLayout w:type="fixed"/>
        </w:tblPrEx>
        <w:trPr>
          <w:trHeight w:hRule="exact" w:val="405"/>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upon option exercise and vesting of restricted stock units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512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5</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2"/>
              </w:tabs>
              <w:spacing w:before="53" w:after="30" w:line="240" w:lineRule="auto"/>
              <w:jc w:val="right"/>
            </w:pPr>
            <w:r>
              <w:rPr>
                <w:rFonts w:ascii="Times New Roman" w:eastAsia="Times New Roman" w:hAnsi="Times New Roman" w:cs="Times New Roman"/>
                <w:b w:val="0"/>
                <w:i w:val="0"/>
                <w:color w:val="000000"/>
                <w:sz w:val="16"/>
                <w:u w:val="none"/>
              </w:rPr>
              <w:tab/>
              <w:t>(310)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32"/>
              </w:tabs>
              <w:spacing w:before="53" w:after="30" w:line="240" w:lineRule="auto"/>
              <w:jc w:val="right"/>
            </w:pPr>
            <w:r>
              <w:rPr>
                <w:rFonts w:ascii="Times New Roman" w:eastAsia="Times New Roman" w:hAnsi="Times New Roman" w:cs="Times New Roman"/>
                <w:b w:val="0"/>
                <w:i w:val="0"/>
                <w:color w:val="000000"/>
                <w:sz w:val="16"/>
                <w:u w:val="none"/>
              </w:rPr>
              <w:tab/>
              <w:t>(305)</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for acquisitions</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49</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46"/>
                <w:tab w:val="left" w:pos="937"/>
              </w:tabs>
              <w:spacing w:before="53" w:after="30" w:line="240" w:lineRule="auto"/>
              <w:jc w:val="right"/>
            </w:pPr>
            <w:r>
              <w:rPr>
                <w:rFonts w:ascii="Times New Roman" w:eastAsia="Times New Roman" w:hAnsi="Times New Roman" w:cs="Times New Roman"/>
                <w:b w:val="0"/>
                <w:i w:val="0"/>
                <w:color w:val="000000"/>
                <w:sz w:val="16"/>
                <w:u w:val="none"/>
              </w:rPr>
              <w:tab/>
              <w:t>445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445</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Share-based compensation</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2,150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2,150</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Net income</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61"/>
                <w:tab w:val="left" w:pos="952"/>
              </w:tabs>
              <w:spacing w:before="53" w:after="30" w:line="240" w:lineRule="auto"/>
              <w:jc w:val="right"/>
            </w:pPr>
            <w:r>
              <w:rPr>
                <w:rFonts w:ascii="Times New Roman" w:eastAsia="Times New Roman" w:hAnsi="Times New Roman" w:cs="Times New Roman"/>
                <w:b w:val="0"/>
                <w:i w:val="0"/>
                <w:color w:val="000000"/>
                <w:sz w:val="16"/>
                <w:u w:val="none"/>
              </w:rPr>
              <w:tab/>
              <w:t>625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625</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Other comprehensive loss</w:t>
            </w: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67"/>
              </w:tabs>
              <w:spacing w:before="53" w:after="30" w:line="240" w:lineRule="auto"/>
              <w:jc w:val="right"/>
            </w:pPr>
            <w:r>
              <w:rPr>
                <w:rFonts w:ascii="Times New Roman" w:eastAsia="Times New Roman" w:hAnsi="Times New Roman" w:cs="Times New Roman"/>
                <w:b w:val="0"/>
                <w:i w:val="0"/>
                <w:color w:val="000000"/>
                <w:sz w:val="16"/>
                <w:u w:val="none"/>
              </w:rPr>
              <w:tab/>
              <w:t>(588)</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32"/>
              </w:tabs>
              <w:spacing w:before="53" w:after="30" w:line="240" w:lineRule="auto"/>
              <w:jc w:val="right"/>
            </w:pPr>
            <w:r>
              <w:rPr>
                <w:rFonts w:ascii="Times New Roman" w:eastAsia="Times New Roman" w:hAnsi="Times New Roman" w:cs="Times New Roman"/>
                <w:b w:val="0"/>
                <w:i w:val="0"/>
                <w:color w:val="000000"/>
                <w:sz w:val="16"/>
                <w:u w:val="none"/>
              </w:rPr>
              <w:tab/>
              <w:t>(588)</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6"/>
                <w:u w:val="none"/>
              </w:rPr>
              <w:t>Balance at March 31, 2026</w:t>
            </w:r>
          </w:p>
        </w:tc>
        <w:tc>
          <w:tcPr>
            <w:tcW w:w="96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28,637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286</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519,717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(319,727)</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767"/>
              </w:tabs>
              <w:spacing w:before="33" w:after="30" w:line="240" w:lineRule="auto"/>
              <w:jc w:val="right"/>
            </w:pPr>
            <w:r>
              <w:rPr>
                <w:rFonts w:ascii="Times New Roman" w:eastAsia="Times New Roman" w:hAnsi="Times New Roman" w:cs="Times New Roman"/>
                <w:b w:val="0"/>
                <w:i w:val="0"/>
                <w:color w:val="000000"/>
                <w:sz w:val="16"/>
                <w:u w:val="none"/>
              </w:rPr>
              <w:t>$</w:t>
              <w:tab/>
              <w:t>(153)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6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200,123</w:t>
              <w:tab/>
            </w:r>
          </w:p>
        </w:tc>
      </w:tr>
      <w:tr>
        <w:tblPrEx>
          <w:tblW w:w="10800" w:type="dxa"/>
          <w:tblInd w:w="0" w:type="dxa"/>
          <w:tblLayout w:type="fixed"/>
        </w:tblPrEx>
        <w:trPr>
          <w:trHeight w:hRule="exact" w:val="315"/>
        </w:trPr>
        <w:tc>
          <w:tcPr>
            <w:tcW w:w="330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6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65"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r>
      <w:tr>
        <w:tblPrEx>
          <w:tblW w:w="10800" w:type="dxa"/>
          <w:tblInd w:w="0" w:type="dxa"/>
          <w:tblLayout w:type="fixed"/>
        </w:tblPrEx>
        <w:trPr>
          <w:trHeight w:hRule="exact" w:val="405"/>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upon option exercise and vesting of restricted stock units</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138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2"/>
              </w:tabs>
              <w:spacing w:before="53" w:after="30" w:line="240" w:lineRule="auto"/>
              <w:jc w:val="right"/>
            </w:pPr>
            <w:r>
              <w:rPr>
                <w:rFonts w:ascii="Times New Roman" w:eastAsia="Times New Roman" w:hAnsi="Times New Roman" w:cs="Times New Roman"/>
                <w:b w:val="0"/>
                <w:i w:val="0"/>
                <w:color w:val="000000"/>
                <w:sz w:val="16"/>
                <w:u w:val="none"/>
              </w:rPr>
              <w:tab/>
              <w:t>(112)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32"/>
              </w:tabs>
              <w:spacing w:before="53" w:after="30" w:line="240" w:lineRule="auto"/>
              <w:jc w:val="right"/>
            </w:pPr>
            <w:r>
              <w:rPr>
                <w:rFonts w:ascii="Times New Roman" w:eastAsia="Times New Roman" w:hAnsi="Times New Roman" w:cs="Times New Roman"/>
                <w:b w:val="0"/>
                <w:i w:val="0"/>
                <w:color w:val="000000"/>
                <w:sz w:val="16"/>
                <w:u w:val="none"/>
              </w:rPr>
              <w:tab/>
              <w:t>(111)</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ESPP</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49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46"/>
                <w:tab w:val="left" w:pos="937"/>
              </w:tabs>
              <w:spacing w:before="53" w:after="30" w:line="240" w:lineRule="auto"/>
              <w:jc w:val="right"/>
            </w:pPr>
            <w:r>
              <w:rPr>
                <w:rFonts w:ascii="Times New Roman" w:eastAsia="Times New Roman" w:hAnsi="Times New Roman" w:cs="Times New Roman"/>
                <w:b w:val="0"/>
                <w:i w:val="0"/>
                <w:color w:val="000000"/>
                <w:sz w:val="16"/>
                <w:u w:val="none"/>
              </w:rPr>
              <w:tab/>
              <w:t>324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325</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Share-based compensation</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2,131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2,131</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Net loss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67"/>
              </w:tabs>
              <w:spacing w:before="53" w:after="30" w:line="240" w:lineRule="auto"/>
              <w:jc w:val="right"/>
            </w:pPr>
            <w:r>
              <w:rPr>
                <w:rFonts w:ascii="Times New Roman" w:eastAsia="Times New Roman" w:hAnsi="Times New Roman" w:cs="Times New Roman"/>
                <w:b w:val="0"/>
                <w:i w:val="0"/>
                <w:color w:val="000000"/>
                <w:sz w:val="16"/>
                <w:u w:val="none"/>
              </w:rPr>
              <w:tab/>
              <w:t>(4,443)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12"/>
              </w:tabs>
              <w:spacing w:before="53" w:after="30" w:line="240" w:lineRule="auto"/>
              <w:jc w:val="right"/>
            </w:pPr>
            <w:r>
              <w:rPr>
                <w:rFonts w:ascii="Times New Roman" w:eastAsia="Times New Roman" w:hAnsi="Times New Roman" w:cs="Times New Roman"/>
                <w:b w:val="0"/>
                <w:i w:val="0"/>
                <w:color w:val="000000"/>
                <w:sz w:val="16"/>
                <w:u w:val="none"/>
              </w:rPr>
              <w:tab/>
              <w:t>(4,443)</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Other comprehensive loss</w:t>
            </w:r>
          </w:p>
        </w:tc>
        <w:tc>
          <w:tcPr>
            <w:tcW w:w="96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67"/>
              </w:tabs>
              <w:spacing w:before="53" w:after="30" w:line="240" w:lineRule="auto"/>
              <w:jc w:val="right"/>
            </w:pPr>
            <w:r>
              <w:rPr>
                <w:rFonts w:ascii="Times New Roman" w:eastAsia="Times New Roman" w:hAnsi="Times New Roman" w:cs="Times New Roman"/>
                <w:b w:val="0"/>
                <w:i w:val="0"/>
                <w:color w:val="000000"/>
                <w:sz w:val="16"/>
                <w:u w:val="none"/>
              </w:rPr>
              <w:tab/>
              <w:t>(262)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32"/>
              </w:tabs>
              <w:spacing w:before="53" w:after="30" w:line="240" w:lineRule="auto"/>
              <w:jc w:val="right"/>
            </w:pPr>
            <w:r>
              <w:rPr>
                <w:rFonts w:ascii="Times New Roman" w:eastAsia="Times New Roman" w:hAnsi="Times New Roman" w:cs="Times New Roman"/>
                <w:b w:val="0"/>
                <w:i w:val="0"/>
                <w:color w:val="000000"/>
                <w:sz w:val="16"/>
                <w:u w:val="none"/>
              </w:rPr>
              <w:tab/>
              <w:t>(262)</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6"/>
                <w:u w:val="none"/>
              </w:rPr>
              <w:t>Balance at June 30, 2026</w:t>
            </w:r>
          </w:p>
        </w:tc>
        <w:tc>
          <w:tcPr>
            <w:tcW w:w="96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28,824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288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522,060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(324,170)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767"/>
              </w:tabs>
              <w:spacing w:before="33" w:after="30" w:line="240" w:lineRule="auto"/>
              <w:jc w:val="right"/>
            </w:pPr>
            <w:r>
              <w:rPr>
                <w:rFonts w:ascii="Times New Roman" w:eastAsia="Times New Roman" w:hAnsi="Times New Roman" w:cs="Times New Roman"/>
                <w:b w:val="0"/>
                <w:i w:val="0"/>
                <w:color w:val="000000"/>
                <w:sz w:val="16"/>
                <w:u w:val="none"/>
              </w:rPr>
              <w:t>$</w:t>
              <w:tab/>
              <w:t>(415)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197,763</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6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2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r>
      <w:tr>
        <w:tblPrEx>
          <w:tblW w:w="10800" w:type="dxa"/>
          <w:tblInd w:w="0" w:type="dxa"/>
          <w:tblLayout w:type="fixed"/>
        </w:tblPrEx>
        <w:trPr>
          <w:trHeight w:hRule="exact" w:val="405"/>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upon option exercise and vesting of restricted stock units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97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52"/>
              </w:tabs>
              <w:spacing w:before="53" w:after="30" w:line="240" w:lineRule="auto"/>
              <w:jc w:val="right"/>
            </w:pPr>
            <w:r>
              <w:rPr>
                <w:rFonts w:ascii="Times New Roman" w:eastAsia="Times New Roman" w:hAnsi="Times New Roman" w:cs="Times New Roman"/>
                <w:b w:val="0"/>
                <w:i w:val="0"/>
                <w:color w:val="000000"/>
                <w:sz w:val="16"/>
                <w:u w:val="none"/>
              </w:rPr>
              <w:tab/>
              <w:t>(86)</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12"/>
              </w:tabs>
              <w:spacing w:before="53" w:after="30" w:line="240" w:lineRule="auto"/>
              <w:jc w:val="right"/>
            </w:pPr>
            <w:r>
              <w:rPr>
                <w:rFonts w:ascii="Times New Roman" w:eastAsia="Times New Roman" w:hAnsi="Times New Roman" w:cs="Times New Roman"/>
                <w:b w:val="0"/>
                <w:i w:val="0"/>
                <w:color w:val="000000"/>
                <w:sz w:val="16"/>
                <w:u w:val="none"/>
              </w:rPr>
              <w:tab/>
              <w:t>(85)</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Share-based compensation</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1,962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1,962</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Net loss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87"/>
              </w:tabs>
              <w:spacing w:before="53" w:after="30" w:line="240" w:lineRule="auto"/>
              <w:jc w:val="right"/>
            </w:pPr>
            <w:r>
              <w:rPr>
                <w:rFonts w:ascii="Times New Roman" w:eastAsia="Times New Roman" w:hAnsi="Times New Roman" w:cs="Times New Roman"/>
                <w:b w:val="0"/>
                <w:i w:val="0"/>
                <w:color w:val="000000"/>
                <w:sz w:val="16"/>
                <w:u w:val="none"/>
              </w:rPr>
              <w:tab/>
              <w:t>(604)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32"/>
              </w:tabs>
              <w:spacing w:before="53" w:after="30" w:line="240" w:lineRule="auto"/>
              <w:jc w:val="right"/>
            </w:pPr>
            <w:r>
              <w:rPr>
                <w:rFonts w:ascii="Times New Roman" w:eastAsia="Times New Roman" w:hAnsi="Times New Roman" w:cs="Times New Roman"/>
                <w:b w:val="0"/>
                <w:i w:val="0"/>
                <w:color w:val="000000"/>
                <w:sz w:val="16"/>
                <w:u w:val="none"/>
              </w:rPr>
              <w:tab/>
              <w:t>(604)</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Other comprehensive loss</w:t>
            </w:r>
          </w:p>
        </w:tc>
        <w:tc>
          <w:tcPr>
            <w:tcW w:w="96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47"/>
              </w:tabs>
              <w:spacing w:before="53" w:after="30" w:line="240" w:lineRule="auto"/>
              <w:jc w:val="right"/>
            </w:pPr>
            <w:r>
              <w:rPr>
                <w:rFonts w:ascii="Times New Roman" w:eastAsia="Times New Roman" w:hAnsi="Times New Roman" w:cs="Times New Roman"/>
                <w:b w:val="0"/>
                <w:i w:val="0"/>
                <w:color w:val="000000"/>
                <w:sz w:val="16"/>
                <w:u w:val="none"/>
              </w:rPr>
              <w:tab/>
              <w:t>(1,668)</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12"/>
              </w:tabs>
              <w:spacing w:before="53" w:after="30" w:line="240" w:lineRule="auto"/>
              <w:jc w:val="right"/>
            </w:pPr>
            <w:r>
              <w:rPr>
                <w:rFonts w:ascii="Times New Roman" w:eastAsia="Times New Roman" w:hAnsi="Times New Roman" w:cs="Times New Roman"/>
                <w:b w:val="0"/>
                <w:i w:val="0"/>
                <w:color w:val="000000"/>
                <w:sz w:val="16"/>
                <w:u w:val="none"/>
              </w:rPr>
              <w:tab/>
              <w:t>(1,668)</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16"/>
                <w:u w:val="none"/>
              </w:rPr>
              <w:t>Balance at September 30, 2026</w:t>
            </w:r>
          </w:p>
        </w:tc>
        <w:tc>
          <w:tcPr>
            <w:tcW w:w="96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28,921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289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0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523,936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02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(324,774)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647"/>
              </w:tabs>
              <w:spacing w:before="33" w:after="30" w:line="240" w:lineRule="auto"/>
              <w:jc w:val="right"/>
            </w:pPr>
            <w:r>
              <w:rPr>
                <w:rFonts w:ascii="Times New Roman" w:eastAsia="Times New Roman" w:hAnsi="Times New Roman" w:cs="Times New Roman"/>
                <w:b w:val="0"/>
                <w:i w:val="0"/>
                <w:color w:val="000000"/>
                <w:sz w:val="16"/>
                <w:u w:val="none"/>
              </w:rPr>
              <w:t>$</w:t>
              <w:tab/>
              <w:t>(2,083)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06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197,368</w:t>
              <w:tab/>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accompanying notes are an integral part of these Condensed Consolidated Financial Statements.</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200" w:after="0" w:line="288" w:lineRule="auto"/>
        <w:ind w:left="0" w:right="0" w:firstLine="0"/>
        <w:jc w:val="center"/>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200" w:after="0" w:line="288" w:lineRule="auto"/>
        <w:ind w:left="0" w:right="0" w:firstLine="0"/>
        <w:jc w:val="center"/>
        <w:outlineLvl w:val="9"/>
        <w:rPr>
          <w:rFonts w:ascii="Times New Roman" w:eastAsia="Times New Roman" w:hAnsi="Times New Roman" w:cs="Times New Roman"/>
          <w:b/>
          <w:i w:val="0"/>
          <w:sz w:val="20"/>
        </w:rPr>
      </w:pPr>
    </w:p>
    <w:p>
      <w:pPr>
        <w:keepNext w:val="0"/>
        <w:keepLines/>
        <w:pageBreakBefore/>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i w:val="0"/>
          <w:sz w:val="20"/>
        </w:rPr>
        <w:t>ASURE SOFTWARE, INC.</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CONDENSED CONSOLIDATED STATEMENTS OF CHANGES IN STOCKHOLDERS’ EQUITY</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(in thousands)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(Unaudited)</w:t>
      </w:r>
    </w:p>
    <w:tbl>
      <w:tblPr>
        <w:tblStyle w:val="TableNormal0"/>
        <w:tblW w:w="10800" w:type="dxa"/>
        <w:jc w:val="left"/>
        <w:tblInd w:w="0" w:type="dxa"/>
        <w:tblLayout w:type="fixed"/>
      </w:tblPr>
      <w:tblGrid>
        <w:gridCol w:w="3300"/>
        <w:gridCol w:w="960"/>
        <w:gridCol w:w="75"/>
        <w:gridCol w:w="900"/>
        <w:gridCol w:w="75"/>
        <w:gridCol w:w="900"/>
        <w:gridCol w:w="75"/>
        <w:gridCol w:w="1005"/>
        <w:gridCol w:w="75"/>
        <w:gridCol w:w="1020"/>
        <w:gridCol w:w="75"/>
        <w:gridCol w:w="1200"/>
        <w:gridCol w:w="75"/>
        <w:gridCol w:w="1065"/>
      </w:tblGrid>
      <w:tr>
        <w:tblPrEx>
          <w:tblW w:w="10800" w:type="dxa"/>
          <w:tblInd w:w="0" w:type="dxa"/>
          <w:tblLayout w:type="fixed"/>
        </w:tblPrEx>
        <w:trPr>
          <w:trHeight w:hRule="exact" w:val="615"/>
        </w:trPr>
        <w:tc>
          <w:tcPr>
            <w:tcW w:w="330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9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Common Stock Outstanding</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Common Stock Amount</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Treasury Stock</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0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Additional Paid-in Capital</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Accumulated Deficit</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Other Comprehensive Income (Loss)</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Total Stockholders’ Equity</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6"/>
                <w:u w:val="none"/>
              </w:rPr>
              <w:t>Balance at December 31, 2024</w:t>
            </w:r>
          </w:p>
        </w:tc>
        <w:tc>
          <w:tcPr>
            <w:tcW w:w="9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26,671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267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504,849</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(307,226)</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767"/>
              </w:tabs>
              <w:spacing w:before="33" w:after="30" w:line="240" w:lineRule="auto"/>
              <w:jc w:val="right"/>
            </w:pPr>
            <w:r>
              <w:rPr>
                <w:rFonts w:ascii="Times New Roman" w:eastAsia="Times New Roman" w:hAnsi="Times New Roman" w:cs="Times New Roman"/>
                <w:b w:val="0"/>
                <w:i w:val="0"/>
                <w:color w:val="000000"/>
                <w:sz w:val="16"/>
                <w:u w:val="none"/>
              </w:rPr>
              <w:t>$</w:t>
              <w:tab/>
              <w:t>(575)</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197,315</w:t>
              <w:tab/>
            </w:r>
          </w:p>
        </w:tc>
      </w:tr>
      <w:tr>
        <w:tblPrEx>
          <w:tblW w:w="10800" w:type="dxa"/>
          <w:tblInd w:w="0" w:type="dxa"/>
          <w:tblLayout w:type="fixed"/>
        </w:tblPrEx>
        <w:trPr>
          <w:trHeight w:hRule="exact" w:val="405"/>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upon option exercise and vesting of restricted stock units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451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46"/>
                <w:tab w:val="left" w:pos="937"/>
              </w:tabs>
              <w:spacing w:before="53" w:after="30" w:line="240" w:lineRule="auto"/>
              <w:jc w:val="right"/>
            </w:pPr>
            <w:r>
              <w:rPr>
                <w:rFonts w:ascii="Times New Roman" w:eastAsia="Times New Roman" w:hAnsi="Times New Roman" w:cs="Times New Roman"/>
                <w:b w:val="0"/>
                <w:i w:val="0"/>
                <w:color w:val="000000"/>
                <w:sz w:val="16"/>
                <w:u w:val="none"/>
              </w:rPr>
              <w:tab/>
              <w:t>437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441</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Share-based compensation</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1,863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1,863</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Net loss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67"/>
              </w:tabs>
              <w:spacing w:before="53" w:after="30" w:line="240" w:lineRule="auto"/>
              <w:jc w:val="right"/>
            </w:pPr>
            <w:r>
              <w:rPr>
                <w:rFonts w:ascii="Times New Roman" w:eastAsia="Times New Roman" w:hAnsi="Times New Roman" w:cs="Times New Roman"/>
                <w:b w:val="0"/>
                <w:i w:val="0"/>
                <w:color w:val="000000"/>
                <w:sz w:val="16"/>
                <w:u w:val="none"/>
              </w:rPr>
              <w:tab/>
              <w:t>(2,398)</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12"/>
              </w:tabs>
              <w:spacing w:before="53" w:after="30" w:line="240" w:lineRule="auto"/>
              <w:jc w:val="right"/>
            </w:pPr>
            <w:r>
              <w:rPr>
                <w:rFonts w:ascii="Times New Roman" w:eastAsia="Times New Roman" w:hAnsi="Times New Roman" w:cs="Times New Roman"/>
                <w:b w:val="0"/>
                <w:i w:val="0"/>
                <w:color w:val="000000"/>
                <w:sz w:val="16"/>
                <w:u w:val="none"/>
              </w:rPr>
              <w:tab/>
              <w:t>(2,398)</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Other comprehensive income</w:t>
            </w:r>
          </w:p>
        </w:tc>
        <w:tc>
          <w:tcPr>
            <w:tcW w:w="96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41"/>
                <w:tab w:val="left" w:pos="1132"/>
              </w:tabs>
              <w:spacing w:before="53" w:after="30" w:line="240" w:lineRule="auto"/>
              <w:jc w:val="right"/>
            </w:pPr>
            <w:r>
              <w:rPr>
                <w:rFonts w:ascii="Times New Roman" w:eastAsia="Times New Roman" w:hAnsi="Times New Roman" w:cs="Times New Roman"/>
                <w:b w:val="0"/>
                <w:i w:val="0"/>
                <w:color w:val="000000"/>
                <w:sz w:val="16"/>
                <w:u w:val="none"/>
              </w:rPr>
              <w:tab/>
              <w:t>442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442</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6"/>
                <w:u w:val="none"/>
              </w:rPr>
              <w:t>Balance at March 31, 2025</w:t>
            </w:r>
          </w:p>
        </w:tc>
        <w:tc>
          <w:tcPr>
            <w:tcW w:w="96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27,122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271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507,149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(309,624)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767"/>
              </w:tabs>
              <w:spacing w:before="33" w:after="30" w:line="240" w:lineRule="auto"/>
              <w:jc w:val="right"/>
            </w:pPr>
            <w:r>
              <w:rPr>
                <w:rFonts w:ascii="Times New Roman" w:eastAsia="Times New Roman" w:hAnsi="Times New Roman" w:cs="Times New Roman"/>
                <w:b w:val="0"/>
                <w:i w:val="0"/>
                <w:color w:val="000000"/>
                <w:sz w:val="16"/>
                <w:u w:val="none"/>
              </w:rPr>
              <w:t>$</w:t>
              <w:tab/>
              <w:t>(133)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6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197,663</w:t>
              <w:tab/>
            </w:r>
          </w:p>
        </w:tc>
      </w:tr>
      <w:tr>
        <w:tblPrEx>
          <w:tblW w:w="10800" w:type="dxa"/>
          <w:tblInd w:w="0" w:type="dxa"/>
          <w:tblLayout w:type="fixed"/>
        </w:tblPrEx>
        <w:trPr>
          <w:trHeight w:hRule="exact" w:val="315"/>
        </w:trPr>
        <w:tc>
          <w:tcPr>
            <w:tcW w:w="330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6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6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r>
      <w:tr>
        <w:tblPrEx>
          <w:tblW w:w="10800" w:type="dxa"/>
          <w:tblInd w:w="0" w:type="dxa"/>
          <w:tblLayout w:type="fixed"/>
        </w:tblPrEx>
        <w:trPr>
          <w:trHeight w:hRule="exact" w:val="405"/>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upon option exercise and vesting of restricted stock units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189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46"/>
                <w:tab w:val="left" w:pos="937"/>
              </w:tabs>
              <w:spacing w:before="53" w:after="30" w:line="240" w:lineRule="auto"/>
              <w:jc w:val="right"/>
            </w:pPr>
            <w:r>
              <w:rPr>
                <w:rFonts w:ascii="Times New Roman" w:eastAsia="Times New Roman" w:hAnsi="Times New Roman" w:cs="Times New Roman"/>
                <w:b w:val="0"/>
                <w:i w:val="0"/>
                <w:color w:val="000000"/>
                <w:sz w:val="16"/>
                <w:u w:val="none"/>
              </w:rPr>
              <w:tab/>
              <w:t>239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241</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ESPP</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54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46"/>
                <w:tab w:val="left" w:pos="937"/>
              </w:tabs>
              <w:spacing w:before="53" w:after="30" w:line="240" w:lineRule="auto"/>
              <w:jc w:val="right"/>
            </w:pPr>
            <w:r>
              <w:rPr>
                <w:rFonts w:ascii="Times New Roman" w:eastAsia="Times New Roman" w:hAnsi="Times New Roman" w:cs="Times New Roman"/>
                <w:b w:val="0"/>
                <w:i w:val="0"/>
                <w:color w:val="000000"/>
                <w:sz w:val="16"/>
                <w:u w:val="none"/>
              </w:rPr>
              <w:tab/>
              <w:t>351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352</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Share-based compensation</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1,891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1,891</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Net loss</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67"/>
              </w:tabs>
              <w:spacing w:before="53" w:after="30" w:line="240" w:lineRule="auto"/>
              <w:jc w:val="right"/>
            </w:pPr>
            <w:r>
              <w:rPr>
                <w:rFonts w:ascii="Times New Roman" w:eastAsia="Times New Roman" w:hAnsi="Times New Roman" w:cs="Times New Roman"/>
                <w:b w:val="0"/>
                <w:i w:val="0"/>
                <w:color w:val="000000"/>
                <w:sz w:val="16"/>
                <w:u w:val="none"/>
              </w:rPr>
              <w:tab/>
              <w:t>(6,123)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12"/>
              </w:tabs>
              <w:spacing w:before="53" w:after="30" w:line="240" w:lineRule="auto"/>
              <w:jc w:val="right"/>
            </w:pPr>
            <w:r>
              <w:rPr>
                <w:rFonts w:ascii="Times New Roman" w:eastAsia="Times New Roman" w:hAnsi="Times New Roman" w:cs="Times New Roman"/>
                <w:b w:val="0"/>
                <w:i w:val="0"/>
                <w:color w:val="000000"/>
                <w:sz w:val="16"/>
                <w:u w:val="none"/>
              </w:rPr>
              <w:tab/>
              <w:t>(6,123)</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Other comprehensive income</w:t>
            </w: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41"/>
                <w:tab w:val="left" w:pos="1132"/>
              </w:tabs>
              <w:spacing w:before="53" w:after="30" w:line="240" w:lineRule="auto"/>
              <w:jc w:val="right"/>
            </w:pPr>
            <w:r>
              <w:rPr>
                <w:rFonts w:ascii="Times New Roman" w:eastAsia="Times New Roman" w:hAnsi="Times New Roman" w:cs="Times New Roman"/>
                <w:b w:val="0"/>
                <w:i w:val="0"/>
                <w:color w:val="000000"/>
                <w:sz w:val="16"/>
                <w:u w:val="none"/>
              </w:rPr>
              <w:tab/>
              <w:t>228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228</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6"/>
                <w:u w:val="none"/>
              </w:rPr>
              <w:t>Balance at June 30, 2025</w:t>
            </w:r>
          </w:p>
        </w:tc>
        <w:tc>
          <w:tcPr>
            <w:tcW w:w="96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27,365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274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509,630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0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(315,747)</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33" w:after="30" w:line="240" w:lineRule="auto"/>
              <w:jc w:val="right"/>
            </w:pPr>
            <w:r>
              <w:rPr>
                <w:rFonts w:ascii="Times New Roman" w:eastAsia="Times New Roman" w:hAnsi="Times New Roman" w:cs="Times New Roman"/>
                <w:b w:val="0"/>
                <w:i w:val="0"/>
                <w:color w:val="000000"/>
                <w:sz w:val="16"/>
                <w:u w:val="none"/>
              </w:rPr>
              <w:t>$</w:t>
              <w:tab/>
              <w:t>95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keepNext/>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194,252</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6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9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05"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02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2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065" w:type="dxa"/>
            <w:tcBorders>
              <w:top w:val="double" w:sz="8" w:space="0" w:color="000000"/>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800" w:type="dxa"/>
          <w:tblInd w:w="0" w:type="dxa"/>
          <w:tblLayout w:type="fixed"/>
        </w:tblPrEx>
        <w:trPr>
          <w:trHeight w:hRule="exact" w:val="405"/>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upon option exercise and vesting of restricted stock units</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100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52"/>
              </w:tabs>
              <w:spacing w:before="53" w:after="30" w:line="240" w:lineRule="auto"/>
              <w:jc w:val="right"/>
            </w:pPr>
            <w:r>
              <w:rPr>
                <w:rFonts w:ascii="Times New Roman" w:eastAsia="Times New Roman" w:hAnsi="Times New Roman" w:cs="Times New Roman"/>
                <w:b w:val="0"/>
                <w:i w:val="0"/>
                <w:color w:val="000000"/>
                <w:sz w:val="16"/>
                <w:u w:val="none"/>
              </w:rPr>
              <w:tab/>
              <w:t>(24)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12"/>
              </w:tabs>
              <w:spacing w:before="53" w:after="30" w:line="240" w:lineRule="auto"/>
              <w:jc w:val="right"/>
            </w:pPr>
            <w:r>
              <w:rPr>
                <w:rFonts w:ascii="Times New Roman" w:eastAsia="Times New Roman" w:hAnsi="Times New Roman" w:cs="Times New Roman"/>
                <w:b w:val="0"/>
                <w:i w:val="0"/>
                <w:color w:val="000000"/>
                <w:sz w:val="16"/>
                <w:u w:val="none"/>
              </w:rPr>
              <w:tab/>
              <w:t>(23)</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for acquisitions</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124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46"/>
                <w:tab w:val="left" w:pos="937"/>
              </w:tabs>
              <w:spacing w:before="53" w:after="30" w:line="240" w:lineRule="auto"/>
              <w:jc w:val="right"/>
            </w:pPr>
            <w:r>
              <w:rPr>
                <w:rFonts w:ascii="Times New Roman" w:eastAsia="Times New Roman" w:hAnsi="Times New Roman" w:cs="Times New Roman"/>
                <w:b w:val="0"/>
                <w:i w:val="0"/>
                <w:color w:val="000000"/>
                <w:sz w:val="16"/>
                <w:u w:val="none"/>
              </w:rPr>
              <w:tab/>
              <w:t>956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957</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Stock issued for debt payment</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01"/>
                <w:tab w:val="left" w:pos="892"/>
              </w:tabs>
              <w:spacing w:before="53" w:after="30" w:line="240" w:lineRule="auto"/>
              <w:jc w:val="right"/>
            </w:pPr>
            <w:r>
              <w:rPr>
                <w:rFonts w:ascii="Times New Roman" w:eastAsia="Times New Roman" w:hAnsi="Times New Roman" w:cs="Times New Roman"/>
                <w:b w:val="0"/>
                <w:i w:val="0"/>
                <w:color w:val="000000"/>
                <w:sz w:val="16"/>
                <w:u w:val="none"/>
              </w:rPr>
              <w:tab/>
              <w:t>138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01"/>
                <w:tab w:val="left" w:pos="832"/>
              </w:tabs>
              <w:spacing w:before="53" w:after="30" w:line="240" w:lineRule="auto"/>
              <w:jc w:val="right"/>
            </w:pPr>
            <w:r>
              <w:rPr>
                <w:rFonts w:ascii="Times New Roman" w:eastAsia="Times New Roman" w:hAnsi="Times New Roman" w:cs="Times New Roman"/>
                <w:b w:val="0"/>
                <w:i w:val="0"/>
                <w:color w:val="000000"/>
                <w:sz w:val="16"/>
                <w:u w:val="none"/>
              </w:rPr>
              <w:tab/>
              <w:t>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spacing w:before="53" w:after="30" w:line="240" w:lineRule="auto"/>
              <w:jc w:val="right"/>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1,058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1,059</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Share-based compensation</w:t>
            </w:r>
          </w:p>
        </w:tc>
        <w:tc>
          <w:tcPr>
            <w:tcW w:w="9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26"/>
                <w:tab w:val="left" w:pos="937"/>
              </w:tabs>
              <w:spacing w:before="53" w:after="30" w:line="240" w:lineRule="auto"/>
              <w:jc w:val="right"/>
            </w:pPr>
            <w:r>
              <w:rPr>
                <w:rFonts w:ascii="Times New Roman" w:eastAsia="Times New Roman" w:hAnsi="Times New Roman" w:cs="Times New Roman"/>
                <w:b w:val="0"/>
                <w:i w:val="0"/>
                <w:color w:val="000000"/>
                <w:sz w:val="16"/>
                <w:u w:val="none"/>
              </w:rPr>
              <w:tab/>
              <w:t>1,967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86"/>
                <w:tab w:val="left" w:pos="997"/>
              </w:tabs>
              <w:spacing w:before="53" w:after="30" w:line="240" w:lineRule="auto"/>
              <w:jc w:val="right"/>
            </w:pPr>
            <w:r>
              <w:rPr>
                <w:rFonts w:ascii="Times New Roman" w:eastAsia="Times New Roman" w:hAnsi="Times New Roman" w:cs="Times New Roman"/>
                <w:b w:val="0"/>
                <w:i w:val="0"/>
                <w:color w:val="000000"/>
                <w:sz w:val="16"/>
                <w:u w:val="none"/>
              </w:rPr>
              <w:tab/>
              <w:t>1,967</w:t>
              <w:tab/>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Net loss</w:t>
            </w:r>
          </w:p>
        </w:tc>
        <w:tc>
          <w:tcPr>
            <w:tcW w:w="9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67"/>
              </w:tabs>
              <w:spacing w:before="53" w:after="30" w:line="240" w:lineRule="auto"/>
              <w:jc w:val="right"/>
            </w:pPr>
            <w:r>
              <w:rPr>
                <w:rFonts w:ascii="Times New Roman" w:eastAsia="Times New Roman" w:hAnsi="Times New Roman" w:cs="Times New Roman"/>
                <w:b w:val="0"/>
                <w:i w:val="0"/>
                <w:color w:val="000000"/>
                <w:sz w:val="16"/>
                <w:u w:val="none"/>
              </w:rPr>
              <w:tab/>
              <w:t>(5,362)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1"/>
                <w:tab w:val="left" w:pos="11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12"/>
              </w:tabs>
              <w:spacing w:before="53" w:after="30" w:line="240" w:lineRule="auto"/>
              <w:jc w:val="right"/>
            </w:pPr>
            <w:r>
              <w:rPr>
                <w:rFonts w:ascii="Times New Roman" w:eastAsia="Times New Roman" w:hAnsi="Times New Roman" w:cs="Times New Roman"/>
                <w:b w:val="0"/>
                <w:i w:val="0"/>
                <w:color w:val="000000"/>
                <w:sz w:val="16"/>
                <w:u w:val="none"/>
              </w:rPr>
              <w:tab/>
              <w:t>(5,362)</w:t>
            </w:r>
          </w:p>
        </w:tc>
      </w:tr>
      <w:tr>
        <w:tblPrEx>
          <w:tblW w:w="10800" w:type="dxa"/>
          <w:tblInd w:w="0" w:type="dxa"/>
          <w:tblLayout w:type="fixed"/>
        </w:tblPrEx>
        <w:trPr>
          <w:trHeight w:hRule="exact" w:val="240"/>
        </w:trPr>
        <w:tc>
          <w:tcPr>
            <w:tcW w:w="33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360" w:hanging="180"/>
              <w:jc w:val="left"/>
            </w:pPr>
            <w:r>
              <w:rPr>
                <w:rFonts w:ascii="Times New Roman" w:eastAsia="Times New Roman" w:hAnsi="Times New Roman" w:cs="Times New Roman"/>
                <w:b w:val="0"/>
                <w:i w:val="0"/>
                <w:color w:val="000000"/>
                <w:sz w:val="16"/>
                <w:u w:val="none"/>
              </w:rPr>
              <w:t>Other comprehensive income</w:t>
            </w:r>
          </w:p>
        </w:tc>
        <w:tc>
          <w:tcPr>
            <w:tcW w:w="9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81"/>
                <w:tab w:val="left" w:pos="89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9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1"/>
                <w:tab w:val="left" w:pos="83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26"/>
                <w:tab w:val="left" w:pos="937"/>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2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41"/>
                <w:tab w:val="left" w:pos="952"/>
              </w:tabs>
              <w:spacing w:before="53" w:after="30" w:line="240" w:lineRule="auto"/>
              <w:jc w:val="right"/>
            </w:pPr>
            <w:r>
              <w:rPr>
                <w:rFonts w:ascii="Times New Roman" w:eastAsia="Times New Roman" w:hAnsi="Times New Roman" w:cs="Times New Roman"/>
                <w:b w:val="0"/>
                <w:i w:val="0"/>
                <w:color w:val="000000"/>
                <w:sz w:val="16"/>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2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41"/>
                <w:tab w:val="left" w:pos="1132"/>
              </w:tabs>
              <w:spacing w:before="53" w:after="30" w:line="240" w:lineRule="auto"/>
              <w:jc w:val="right"/>
            </w:pPr>
            <w:r>
              <w:rPr>
                <w:rFonts w:ascii="Times New Roman" w:eastAsia="Times New Roman" w:hAnsi="Times New Roman" w:cs="Times New Roman"/>
                <w:b w:val="0"/>
                <w:i w:val="0"/>
                <w:color w:val="000000"/>
                <w:sz w:val="16"/>
                <w:u w:val="none"/>
              </w:rPr>
              <w:tab/>
              <w:t>237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16"/>
              </w:rPr>
            </w:pPr>
          </w:p>
        </w:tc>
        <w:tc>
          <w:tcPr>
            <w:tcW w:w="106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06"/>
                <w:tab w:val="left" w:pos="997"/>
              </w:tabs>
              <w:spacing w:before="53" w:after="30" w:line="240" w:lineRule="auto"/>
              <w:jc w:val="right"/>
            </w:pPr>
            <w:r>
              <w:rPr>
                <w:rFonts w:ascii="Times New Roman" w:eastAsia="Times New Roman" w:hAnsi="Times New Roman" w:cs="Times New Roman"/>
                <w:b w:val="0"/>
                <w:i w:val="0"/>
                <w:color w:val="000000"/>
                <w:sz w:val="16"/>
                <w:u w:val="none"/>
              </w:rPr>
              <w:tab/>
              <w:t>237</w:t>
              <w:tab/>
            </w:r>
          </w:p>
        </w:tc>
      </w:tr>
      <w:tr>
        <w:tblPrEx>
          <w:tblW w:w="10800" w:type="dxa"/>
          <w:tblInd w:w="0" w:type="dxa"/>
          <w:tblLayout w:type="fixed"/>
        </w:tblPrEx>
        <w:trPr>
          <w:trHeight w:hRule="exact" w:val="315"/>
        </w:trPr>
        <w:tc>
          <w:tcPr>
            <w:tcW w:w="3300"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16"/>
                <w:u w:val="none"/>
              </w:rPr>
              <w:t>Balance at September 30, 2025</w:t>
            </w:r>
          </w:p>
        </w:tc>
        <w:tc>
          <w:tcPr>
            <w:tcW w:w="96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401"/>
                <w:tab w:val="left" w:pos="892"/>
              </w:tabs>
              <w:spacing w:before="33" w:after="30" w:line="240" w:lineRule="auto"/>
              <w:jc w:val="right"/>
            </w:pPr>
            <w:r>
              <w:rPr>
                <w:rFonts w:ascii="Times New Roman" w:eastAsia="Times New Roman" w:hAnsi="Times New Roman" w:cs="Times New Roman"/>
                <w:b w:val="0"/>
                <w:i w:val="0"/>
                <w:color w:val="000000"/>
                <w:sz w:val="16"/>
                <w:u w:val="none"/>
              </w:rPr>
              <w:tab/>
              <w:t>27,727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54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277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9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21"/>
                <w:tab w:val="left" w:pos="832"/>
              </w:tabs>
              <w:spacing w:before="33" w:after="30" w:line="240" w:lineRule="auto"/>
              <w:jc w:val="right"/>
            </w:pPr>
            <w:r>
              <w:rPr>
                <w:rFonts w:ascii="Times New Roman" w:eastAsia="Times New Roman" w:hAnsi="Times New Roman" w:cs="Times New Roman"/>
                <w:b w:val="0"/>
                <w:i w:val="0"/>
                <w:color w:val="000000"/>
                <w:sz w:val="16"/>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0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366"/>
                <w:tab w:val="left" w:pos="937"/>
              </w:tabs>
              <w:spacing w:before="33" w:after="30" w:line="240" w:lineRule="auto"/>
              <w:jc w:val="right"/>
            </w:pPr>
            <w:r>
              <w:rPr>
                <w:rFonts w:ascii="Times New Roman" w:eastAsia="Times New Roman" w:hAnsi="Times New Roman" w:cs="Times New Roman"/>
                <w:b w:val="0"/>
                <w:i w:val="0"/>
                <w:color w:val="000000"/>
                <w:sz w:val="16"/>
                <w:u w:val="none"/>
              </w:rPr>
              <w:t>$</w:t>
              <w:tab/>
              <w:t>513,587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02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307"/>
              </w:tabs>
              <w:spacing w:before="33" w:after="30" w:line="240" w:lineRule="auto"/>
              <w:jc w:val="right"/>
            </w:pPr>
            <w:r>
              <w:rPr>
                <w:rFonts w:ascii="Times New Roman" w:eastAsia="Times New Roman" w:hAnsi="Times New Roman" w:cs="Times New Roman"/>
                <w:b w:val="0"/>
                <w:i w:val="0"/>
                <w:color w:val="000000"/>
                <w:sz w:val="16"/>
                <w:u w:val="none"/>
              </w:rPr>
              <w:t>$</w:t>
              <w:tab/>
              <w:t>(321,109)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20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841"/>
                <w:tab w:val="left" w:pos="1132"/>
              </w:tabs>
              <w:spacing w:before="33" w:after="30" w:line="240" w:lineRule="auto"/>
              <w:jc w:val="right"/>
            </w:pPr>
            <w:r>
              <w:rPr>
                <w:rFonts w:ascii="Times New Roman" w:eastAsia="Times New Roman" w:hAnsi="Times New Roman" w:cs="Times New Roman"/>
                <w:b w:val="0"/>
                <w:i w:val="0"/>
                <w:color w:val="000000"/>
                <w:sz w:val="16"/>
                <w:u w:val="none"/>
              </w:rPr>
              <w:t>$</w:t>
              <w:tab/>
              <w:t>332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16"/>
              </w:rPr>
            </w:pPr>
          </w:p>
        </w:tc>
        <w:tc>
          <w:tcPr>
            <w:tcW w:w="106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426"/>
                <w:tab w:val="left" w:pos="997"/>
              </w:tabs>
              <w:spacing w:before="33" w:after="30" w:line="240" w:lineRule="auto"/>
              <w:jc w:val="right"/>
            </w:pPr>
            <w:r>
              <w:rPr>
                <w:rFonts w:ascii="Times New Roman" w:eastAsia="Times New Roman" w:hAnsi="Times New Roman" w:cs="Times New Roman"/>
                <w:b w:val="0"/>
                <w:i w:val="0"/>
                <w:color w:val="000000"/>
                <w:sz w:val="16"/>
                <w:u w:val="none"/>
              </w:rPr>
              <w:t>$</w:t>
              <w:tab/>
              <w:t>193,087</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accompanying notes are an integral part of these Condensed Consolidated Financial Statements.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headerReference w:type="default" r:id="rId15"/>
          <w:pgSz w:w="12240" w:h="15840"/>
          <w:pgMar w:top="855" w:right="720" w:bottom="855" w:left="720" w:header="270" w:footer="270"/>
          <w:cols w:space="720"/>
        </w:sectPr>
      </w:pPr>
    </w:p>
    <w:p>
      <w:pPr>
        <w:keepNext w:val="0"/>
        <w:keepLines/>
        <w:pageBreakBefore w:val="0"/>
        <w:widowControl w:val="0"/>
        <w:numPr>
          <w:ilvl w:val="0"/>
          <w:numId w:val="0"/>
        </w:numPr>
        <w:spacing w:before="0" w:after="0" w:line="288" w:lineRule="auto"/>
        <w:ind w:left="0" w:right="0" w:firstLine="0"/>
        <w:jc w:val="center"/>
        <w:outlineLvl w:val="2"/>
        <w:rPr>
          <w:rFonts w:ascii="Times New Roman" w:eastAsia="Times New Roman" w:hAnsi="Times New Roman" w:cs="Times New Roman"/>
          <w:b/>
          <w:i w:val="0"/>
          <w:sz w:val="20"/>
        </w:rPr>
      </w:pPr>
      <w:bookmarkStart w:id="7" w:name="Section8"/>
      <w:bookmarkEnd w:id="7"/>
      <w:r>
        <w:rPr>
          <w:rFonts w:ascii="Times New Roman" w:eastAsia="Times New Roman" w:hAnsi="Times New Roman" w:cs="Times New Roman"/>
          <w:b/>
          <w:i w:val="0"/>
          <w:sz w:val="20"/>
        </w:rPr>
        <w:t>ASURE SOFTWARE, INC.</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CONDENSED CONSOLIDATED STATEMENTS OF CASH FLOWS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(in thousands)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(Unaudited)</w:t>
      </w:r>
    </w:p>
    <w:tbl>
      <w:tblPr>
        <w:tblStyle w:val="TableNormal0"/>
        <w:tblW w:w="10245" w:type="dxa"/>
        <w:jc w:val="left"/>
        <w:tblInd w:w="0" w:type="dxa"/>
        <w:tblLayout w:type="fixed"/>
      </w:tblPr>
      <w:tblGrid>
        <w:gridCol w:w="7575"/>
        <w:gridCol w:w="1305"/>
        <w:gridCol w:w="60"/>
        <w:gridCol w:w="1305"/>
      </w:tblGrid>
      <w:tr>
        <w:tblPrEx>
          <w:tblW w:w="10245" w:type="dxa"/>
          <w:tblInd w:w="0" w:type="dxa"/>
          <w:tblLayout w:type="fixed"/>
        </w:tblPrEx>
        <w:trPr>
          <w:trHeight w:hRule="exact" w:val="255"/>
        </w:trPr>
        <w:tc>
          <w:tcPr>
            <w:tcW w:w="75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670" w:type="dxa"/>
            <w:gridSpan w:val="3"/>
            <w:tcBorders>
              <w:top w:val="nil"/>
              <w:left w:val="nil"/>
              <w:bottom w:val="nil"/>
              <w:right w:val="nil"/>
            </w:tcBorders>
            <w:tcMar>
              <w:top w:w="0" w:type="dxa"/>
              <w:left w:w="53" w:type="dxa"/>
              <w:bottom w:w="0" w:type="dxa"/>
              <w:right w:w="53" w:type="dxa"/>
            </w:tcMar>
            <w:vAlign w:val="bottom"/>
          </w:tcPr>
          <w:p>
            <w:pPr>
              <w:keepNext/>
              <w:pageBreakBefore w:val="0"/>
              <w:spacing w:before="53" w:after="30" w:line="288" w:lineRule="auto"/>
              <w:jc w:val="center"/>
            </w:pPr>
            <w:r>
              <w:rPr>
                <w:rFonts w:ascii="Times New Roman" w:eastAsia="Times New Roman" w:hAnsi="Times New Roman" w:cs="Times New Roman"/>
                <w:b/>
                <w:i w:val="0"/>
                <w:color w:val="000000"/>
                <w:sz w:val="16"/>
                <w:u w:val="none"/>
              </w:rPr>
              <w:t>Nine Months Ended September 30,</w:t>
            </w:r>
          </w:p>
        </w:tc>
      </w:tr>
      <w:tr>
        <w:tblPrEx>
          <w:tblW w:w="10245" w:type="dxa"/>
          <w:tblInd w:w="0" w:type="dxa"/>
          <w:tblLayout w:type="fixed"/>
        </w:tblPrEx>
        <w:trPr>
          <w:trHeight w:hRule="exact" w:val="255"/>
        </w:trPr>
        <w:tc>
          <w:tcPr>
            <w:tcW w:w="75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88" w:lineRule="auto"/>
              <w:jc w:val="center"/>
            </w:pPr>
            <w:r>
              <w:rPr>
                <w:rFonts w:ascii="Times New Roman" w:eastAsia="Times New Roman" w:hAnsi="Times New Roman" w:cs="Times New Roman"/>
                <w:b/>
                <w:i w:val="0"/>
                <w:color w:val="000000"/>
                <w:sz w:val="16"/>
                <w:u w:val="none"/>
              </w:rPr>
              <w:t>2026</w:t>
            </w:r>
          </w:p>
        </w:tc>
        <w:tc>
          <w:tcPr>
            <w:tcW w:w="60"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88" w:lineRule="auto"/>
              <w:jc w:val="center"/>
            </w:pPr>
            <w:r>
              <w:rPr>
                <w:rFonts w:ascii="Times New Roman" w:eastAsia="Times New Roman" w:hAnsi="Times New Roman" w:cs="Times New Roman"/>
                <w:b/>
                <w:i w:val="0"/>
                <w:color w:val="000000"/>
                <w:sz w:val="16"/>
                <w:u w:val="none"/>
              </w:rPr>
              <w:t>2025</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16"/>
                <w:u w:val="none"/>
              </w:rPr>
              <w:t>Cash flows from operating activities:</w:t>
            </w: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25"/>
              <w:jc w:val="left"/>
            </w:pPr>
            <w:r>
              <w:rPr>
                <w:rFonts w:ascii="Times New Roman" w:eastAsia="Times New Roman" w:hAnsi="Times New Roman" w:cs="Times New Roman"/>
                <w:b w:val="0"/>
                <w:i w:val="0"/>
                <w:color w:val="000000"/>
                <w:sz w:val="16"/>
                <w:u w:val="none"/>
              </w:rPr>
              <w:t>Net loss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w:t>
              <w:tab/>
              <w:t>(4,422)</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w:t>
              <w:tab/>
              <w:t>(13,883)</w:t>
            </w:r>
          </w:p>
        </w:tc>
      </w:tr>
      <w:tr>
        <w:tblPrEx>
          <w:tblW w:w="10245" w:type="dxa"/>
          <w:tblInd w:w="0" w:type="dxa"/>
          <w:tblLayout w:type="fixed"/>
        </w:tblPrEx>
        <w:trPr>
          <w:trHeight w:hRule="exact" w:val="240"/>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25"/>
              <w:jc w:val="left"/>
            </w:pPr>
            <w:r>
              <w:rPr>
                <w:rFonts w:ascii="Times New Roman" w:eastAsia="Times New Roman" w:hAnsi="Times New Roman" w:cs="Times New Roman"/>
                <w:b w:val="0"/>
                <w:i w:val="0"/>
                <w:color w:val="000000"/>
                <w:sz w:val="16"/>
                <w:u w:val="none"/>
              </w:rPr>
              <w:t>Adjustments to reconcile loss to net cash provided by operations:</w:t>
            </w:r>
          </w:p>
        </w:tc>
        <w:tc>
          <w:tcPr>
            <w:tcW w:w="13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Depreciation and amortization</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53" w:after="30" w:line="288" w:lineRule="auto"/>
              <w:jc w:val="right"/>
            </w:pPr>
            <w:r>
              <w:rPr>
                <w:rFonts w:ascii="Times New Roman" w:eastAsia="Times New Roman" w:hAnsi="Times New Roman" w:cs="Times New Roman"/>
                <w:b w:val="0"/>
                <w:i w:val="0"/>
                <w:color w:val="000000"/>
                <w:sz w:val="16"/>
                <w:u w:val="none"/>
              </w:rPr>
              <w:tab/>
              <w:t>21,400</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53" w:after="30" w:line="288" w:lineRule="auto"/>
              <w:jc w:val="right"/>
            </w:pPr>
            <w:r>
              <w:rPr>
                <w:rFonts w:ascii="Times New Roman" w:eastAsia="Times New Roman" w:hAnsi="Times New Roman" w:cs="Times New Roman"/>
                <w:b w:val="0"/>
                <w:i w:val="0"/>
                <w:color w:val="000000"/>
                <w:sz w:val="16"/>
                <w:u w:val="none"/>
              </w:rPr>
              <w:tab/>
              <w:t>19,337</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Amortization of operating lease assets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1,356</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1,137</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Amortization of debt financing costs and discount</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995</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926</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Non-cash interest expense</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533</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692</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Net accretion of discounts on available-for-sale securities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(183)</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(332)</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Provision for expected losses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115</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1,121</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Provision for deferred income taxes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149</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1,503</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Gain on extinguishment of debt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(119)</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Net realized gains on sales of available-for-sale securities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(2,828)</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(2,068)</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Share-based compensation</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6,243</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5,721</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Changes in operating assets and liabilities:</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Accounts receivable</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2,915</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4,490</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Inventory</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89</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1,272</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Prepaid expenses and other assets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(6,184)</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(1,147)</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Operating lease right-of-use assets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14</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Accounts payable</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52"/>
              </w:tabs>
              <w:spacing w:before="53" w:after="30" w:line="288" w:lineRule="auto"/>
              <w:jc w:val="right"/>
            </w:pPr>
            <w:r>
              <w:rPr>
                <w:rFonts w:ascii="Times New Roman" w:eastAsia="Times New Roman" w:hAnsi="Times New Roman" w:cs="Times New Roman"/>
                <w:b w:val="0"/>
                <w:i w:val="0"/>
                <w:color w:val="000000"/>
                <w:sz w:val="16"/>
                <w:u w:val="none"/>
              </w:rPr>
              <w:tab/>
              <w:t>(95)</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729</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Accrued expenses and other long-term obligations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ab/>
              <w:t>625</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(1,308)</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Lease liabilities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(1,458)</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(1,236)</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600"/>
              <w:jc w:val="left"/>
            </w:pPr>
            <w:r>
              <w:rPr>
                <w:rFonts w:ascii="Times New Roman" w:eastAsia="Times New Roman" w:hAnsi="Times New Roman" w:cs="Times New Roman"/>
                <w:b w:val="0"/>
                <w:i w:val="0"/>
                <w:color w:val="000000"/>
                <w:sz w:val="16"/>
                <w:u w:val="none"/>
              </w:rPr>
              <w:t>Deferred revenue</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(6,440)</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(5,923)</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firstLine="180"/>
              <w:jc w:val="left"/>
            </w:pPr>
            <w:r>
              <w:rPr>
                <w:rFonts w:ascii="Times New Roman" w:eastAsia="Times New Roman" w:hAnsi="Times New Roman" w:cs="Times New Roman"/>
                <w:b w:val="0"/>
                <w:i w:val="0"/>
                <w:color w:val="000000"/>
                <w:sz w:val="16"/>
                <w:u w:val="none"/>
              </w:rPr>
              <w:t>Net cash provided by operating activities</w:t>
            </w: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6"/>
                <w:tab w:val="left" w:pos="1237"/>
              </w:tabs>
              <w:spacing w:before="33" w:after="30" w:line="288" w:lineRule="auto"/>
              <w:jc w:val="right"/>
            </w:pPr>
            <w:r>
              <w:rPr>
                <w:rFonts w:ascii="Times New Roman" w:eastAsia="Times New Roman" w:hAnsi="Times New Roman" w:cs="Times New Roman"/>
                <w:b w:val="0"/>
                <w:i w:val="0"/>
                <w:color w:val="000000"/>
                <w:sz w:val="16"/>
                <w:u w:val="none"/>
              </w:rPr>
              <w:tab/>
              <w:t>12,810</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6"/>
                <w:tab w:val="left" w:pos="1237"/>
              </w:tabs>
              <w:spacing w:before="33" w:after="30" w:line="288" w:lineRule="auto"/>
              <w:jc w:val="right"/>
            </w:pPr>
            <w:r>
              <w:rPr>
                <w:rFonts w:ascii="Times New Roman" w:eastAsia="Times New Roman" w:hAnsi="Times New Roman" w:cs="Times New Roman"/>
                <w:b w:val="0"/>
                <w:i w:val="0"/>
                <w:color w:val="000000"/>
                <w:sz w:val="16"/>
                <w:u w:val="none"/>
              </w:rPr>
              <w:tab/>
              <w:t>10,926</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Cash flows from investing activities:</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Business combination consideration, net of cash acquired</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(37,500)</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Acquisition of intangible assets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(4,739)</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(14,967)</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Purchases of property and equipment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(566)</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(522)</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Software capitalization costs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(10,582)</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(10,271)</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Purchases of available-for-sale securities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(25,566)</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(36,655)</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Proceeds from sales and maturities of available-for-sale securities</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53" w:after="30" w:line="288" w:lineRule="auto"/>
              <w:jc w:val="right"/>
            </w:pPr>
            <w:r>
              <w:rPr>
                <w:rFonts w:ascii="Times New Roman" w:eastAsia="Times New Roman" w:hAnsi="Times New Roman" w:cs="Times New Roman"/>
                <w:b w:val="0"/>
                <w:i w:val="0"/>
                <w:color w:val="000000"/>
                <w:sz w:val="16"/>
                <w:u w:val="none"/>
              </w:rPr>
              <w:tab/>
              <w:t>18,773</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53" w:after="30" w:line="288" w:lineRule="auto"/>
              <w:jc w:val="right"/>
            </w:pPr>
            <w:r>
              <w:rPr>
                <w:rFonts w:ascii="Times New Roman" w:eastAsia="Times New Roman" w:hAnsi="Times New Roman" w:cs="Times New Roman"/>
                <w:b w:val="0"/>
                <w:i w:val="0"/>
                <w:color w:val="000000"/>
                <w:sz w:val="16"/>
                <w:u w:val="none"/>
              </w:rPr>
              <w:tab/>
              <w:t>21,738</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firstLine="180"/>
              <w:jc w:val="left"/>
            </w:pPr>
            <w:r>
              <w:rPr>
                <w:rFonts w:ascii="Times New Roman" w:eastAsia="Times New Roman" w:hAnsi="Times New Roman" w:cs="Times New Roman"/>
                <w:b w:val="0"/>
                <w:i w:val="0"/>
                <w:color w:val="000000"/>
                <w:sz w:val="16"/>
                <w:u w:val="none"/>
              </w:rPr>
              <w:t>Net cash used in investing activities</w:t>
            </w: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72"/>
              </w:tabs>
              <w:spacing w:before="33" w:after="30" w:line="288" w:lineRule="auto"/>
              <w:jc w:val="right"/>
            </w:pPr>
            <w:r>
              <w:rPr>
                <w:rFonts w:ascii="Times New Roman" w:eastAsia="Times New Roman" w:hAnsi="Times New Roman" w:cs="Times New Roman"/>
                <w:b w:val="0"/>
                <w:i w:val="0"/>
                <w:color w:val="000000"/>
                <w:sz w:val="16"/>
                <w:u w:val="none"/>
              </w:rPr>
              <w:tab/>
              <w:t>(22,680)</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72"/>
              </w:tabs>
              <w:spacing w:before="33" w:after="30" w:line="288" w:lineRule="auto"/>
              <w:jc w:val="right"/>
            </w:pPr>
            <w:r>
              <w:rPr>
                <w:rFonts w:ascii="Times New Roman" w:eastAsia="Times New Roman" w:hAnsi="Times New Roman" w:cs="Times New Roman"/>
                <w:b w:val="0"/>
                <w:i w:val="0"/>
                <w:color w:val="000000"/>
                <w:sz w:val="16"/>
                <w:u w:val="none"/>
              </w:rPr>
              <w:tab/>
              <w:t>(78,177)</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Cash flows from financing activities:</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Proceeds from notes payable, net of issuance costs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46"/>
                <w:tab w:val="left" w:pos="1237"/>
              </w:tabs>
              <w:spacing w:before="53" w:after="30" w:line="288" w:lineRule="auto"/>
              <w:jc w:val="right"/>
            </w:pPr>
            <w:r>
              <w:rPr>
                <w:rFonts w:ascii="Times New Roman" w:eastAsia="Times New Roman" w:hAnsi="Times New Roman" w:cs="Times New Roman"/>
                <w:b w:val="0"/>
                <w:i w:val="0"/>
                <w:color w:val="000000"/>
                <w:sz w:val="16"/>
                <w:u w:val="none"/>
              </w:rPr>
              <w:tab/>
              <w:t>57,982</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Payments of notes payable</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(4,554)</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(5,000)</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Debt extinguishment costs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ab/>
              <w:t>—</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(100)</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Payments made on amounts due for the acquisition of intangible assets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(478)</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52"/>
              </w:tabs>
              <w:spacing w:before="53" w:after="30" w:line="288" w:lineRule="auto"/>
              <w:jc w:val="right"/>
            </w:pPr>
            <w:r>
              <w:rPr>
                <w:rFonts w:ascii="Times New Roman" w:eastAsia="Times New Roman" w:hAnsi="Times New Roman" w:cs="Times New Roman"/>
                <w:b w:val="0"/>
                <w:i w:val="0"/>
                <w:color w:val="000000"/>
                <w:sz w:val="16"/>
                <w:u w:val="none"/>
              </w:rPr>
              <w:tab/>
              <w:t>(1,381)</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Net proceeds from (settlements for) common stock transactions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72"/>
              </w:tabs>
              <w:spacing w:before="53" w:after="30" w:line="288" w:lineRule="auto"/>
              <w:jc w:val="right"/>
            </w:pPr>
            <w:r>
              <w:rPr>
                <w:rFonts w:ascii="Times New Roman" w:eastAsia="Times New Roman" w:hAnsi="Times New Roman" w:cs="Times New Roman"/>
                <w:b w:val="0"/>
                <w:i w:val="0"/>
                <w:color w:val="000000"/>
                <w:sz w:val="16"/>
                <w:u w:val="none"/>
              </w:rPr>
              <w:tab/>
              <w:t>(176)</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ab/>
              <w:t>1,011</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375"/>
              <w:jc w:val="left"/>
            </w:pPr>
            <w:r>
              <w:rPr>
                <w:rFonts w:ascii="Times New Roman" w:eastAsia="Times New Roman" w:hAnsi="Times New Roman" w:cs="Times New Roman"/>
                <w:b w:val="0"/>
                <w:i w:val="0"/>
                <w:color w:val="000000"/>
                <w:sz w:val="16"/>
                <w:u w:val="none"/>
              </w:rPr>
              <w:t>Net change in client fund obligations</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(31,103)</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(45,506)</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88" w:lineRule="auto"/>
              <w:ind w:firstLine="180"/>
              <w:jc w:val="left"/>
            </w:pPr>
            <w:r>
              <w:rPr>
                <w:rFonts w:ascii="Times New Roman" w:eastAsia="Times New Roman" w:hAnsi="Times New Roman" w:cs="Times New Roman"/>
                <w:b w:val="0"/>
                <w:i w:val="0"/>
                <w:color w:val="000000"/>
                <w:sz w:val="16"/>
                <w:u w:val="none"/>
              </w:rPr>
              <w:t>Net cash provided by (used in) financing activities</w:t>
            </w: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72"/>
              </w:tabs>
              <w:spacing w:before="33" w:after="30" w:line="288" w:lineRule="auto"/>
              <w:jc w:val="right"/>
            </w:pPr>
            <w:r>
              <w:rPr>
                <w:rFonts w:ascii="Times New Roman" w:eastAsia="Times New Roman" w:hAnsi="Times New Roman" w:cs="Times New Roman"/>
                <w:b w:val="0"/>
                <w:i w:val="0"/>
                <w:color w:val="000000"/>
                <w:sz w:val="16"/>
                <w:u w:val="none"/>
              </w:rPr>
              <w:tab/>
              <w:t>(36,311)</w:t>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33" w:after="30" w:line="288" w:lineRule="auto"/>
              <w:jc w:val="right"/>
            </w:pPr>
            <w:r>
              <w:rPr>
                <w:rFonts w:ascii="Times New Roman" w:eastAsia="Times New Roman" w:hAnsi="Times New Roman" w:cs="Times New Roman"/>
                <w:b w:val="0"/>
                <w:i w:val="0"/>
                <w:color w:val="000000"/>
                <w:sz w:val="16"/>
                <w:u w:val="none"/>
              </w:rPr>
              <w:tab/>
              <w:t>7,006</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Net decrease in cash, cash equivalents, restricted cash, and restricted cash equivalents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(46,181)</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672"/>
              </w:tabs>
              <w:spacing w:before="53" w:after="30" w:line="288" w:lineRule="auto"/>
              <w:jc w:val="right"/>
            </w:pPr>
            <w:r>
              <w:rPr>
                <w:rFonts w:ascii="Times New Roman" w:eastAsia="Times New Roman" w:hAnsi="Times New Roman" w:cs="Times New Roman"/>
                <w:b w:val="0"/>
                <w:i w:val="0"/>
                <w:color w:val="000000"/>
                <w:sz w:val="16"/>
                <w:u w:val="none"/>
              </w:rPr>
              <w:tab/>
              <w:t>(60,245)</w:t>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Cash, cash equivalents, restricted cash and restricted cash equivalents, beginning of period</w:t>
            </w: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66"/>
                <w:tab w:val="left" w:pos="1237"/>
              </w:tabs>
              <w:spacing w:before="53" w:after="30" w:line="288" w:lineRule="auto"/>
              <w:jc w:val="right"/>
            </w:pPr>
            <w:r>
              <w:rPr>
                <w:rFonts w:ascii="Times New Roman" w:eastAsia="Times New Roman" w:hAnsi="Times New Roman" w:cs="Times New Roman"/>
                <w:b w:val="0"/>
                <w:i w:val="0"/>
                <w:color w:val="000000"/>
                <w:sz w:val="16"/>
                <w:u w:val="none"/>
              </w:rPr>
              <w:tab/>
              <w:t>164,703</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66"/>
                <w:tab w:val="left" w:pos="1237"/>
              </w:tabs>
              <w:spacing w:before="53" w:after="30" w:line="288" w:lineRule="auto"/>
              <w:jc w:val="right"/>
            </w:pPr>
            <w:r>
              <w:rPr>
                <w:rFonts w:ascii="Times New Roman" w:eastAsia="Times New Roman" w:hAnsi="Times New Roman" w:cs="Times New Roman"/>
                <w:b w:val="0"/>
                <w:i w:val="0"/>
                <w:color w:val="000000"/>
                <w:sz w:val="16"/>
                <w:u w:val="none"/>
              </w:rPr>
              <w:tab/>
              <w:t>145,712</w:t>
              <w:tab/>
            </w:r>
          </w:p>
        </w:tc>
      </w:tr>
      <w:tr>
        <w:tblPrEx>
          <w:tblW w:w="10245" w:type="dxa"/>
          <w:tblInd w:w="0"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88" w:lineRule="auto"/>
              <w:jc w:val="left"/>
            </w:pPr>
            <w:r>
              <w:rPr>
                <w:rFonts w:ascii="Times New Roman" w:eastAsia="Times New Roman" w:hAnsi="Times New Roman" w:cs="Times New Roman"/>
                <w:b w:val="0"/>
                <w:i w:val="0"/>
                <w:color w:val="000000"/>
                <w:sz w:val="16"/>
                <w:u w:val="none"/>
              </w:rPr>
              <w:t>Cash, cash equivalents, restricted cash and restricted cash equivalents, end of period</w:t>
            </w:r>
          </w:p>
        </w:tc>
        <w:tc>
          <w:tcPr>
            <w:tcW w:w="13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666"/>
                <w:tab w:val="left" w:pos="1237"/>
              </w:tabs>
              <w:spacing w:before="33" w:after="30" w:line="288" w:lineRule="auto"/>
              <w:jc w:val="right"/>
            </w:pPr>
            <w:r>
              <w:rPr>
                <w:rFonts w:ascii="Times New Roman" w:eastAsia="Times New Roman" w:hAnsi="Times New Roman" w:cs="Times New Roman"/>
                <w:b w:val="0"/>
                <w:i w:val="0"/>
                <w:color w:val="000000"/>
                <w:sz w:val="16"/>
                <w:u w:val="none"/>
              </w:rPr>
              <w:t>$</w:t>
              <w:tab/>
              <w:t>118,522</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sz w:val="16"/>
              </w:rPr>
            </w:pPr>
          </w:p>
        </w:tc>
        <w:tc>
          <w:tcPr>
            <w:tcW w:w="13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746"/>
                <w:tab w:val="left" w:pos="1237"/>
              </w:tabs>
              <w:spacing w:before="33" w:after="30" w:line="288" w:lineRule="auto"/>
              <w:jc w:val="right"/>
            </w:pPr>
            <w:r>
              <w:rPr>
                <w:rFonts w:ascii="Times New Roman" w:eastAsia="Times New Roman" w:hAnsi="Times New Roman" w:cs="Times New Roman"/>
                <w:b w:val="0"/>
                <w:i w:val="0"/>
                <w:color w:val="000000"/>
                <w:sz w:val="16"/>
                <w:u w:val="none"/>
              </w:rPr>
              <w:t>$</w:t>
              <w:tab/>
              <w:t>85,467</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accompanying notes are an integral part of these Condensed Consolidated Financial Statements.</w:t>
      </w:r>
    </w:p>
    <w:p>
      <w:pPr>
        <w:keepNext w:val="0"/>
        <w:keepLines/>
        <w:pageBreakBefore/>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ASURE SOFTWARE, INC.</w:t>
      </w: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CONDENSED CONSOLIDATED STATEMENTS OF CASH FLOWS (continued)</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(in thousands)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(Unaudited)</w:t>
      </w:r>
    </w:p>
    <w:tbl>
      <w:tblPr>
        <w:tblStyle w:val="TableNormal0"/>
        <w:tblW w:w="10245" w:type="dxa"/>
        <w:jc w:val="center"/>
        <w:tblLayout w:type="fixed"/>
      </w:tblPr>
      <w:tblGrid>
        <w:gridCol w:w="7575"/>
        <w:gridCol w:w="1305"/>
        <w:gridCol w:w="60"/>
        <w:gridCol w:w="1305"/>
      </w:tblGrid>
      <w:tr>
        <w:tblPrEx>
          <w:tblW w:w="10245" w:type="dxa"/>
          <w:tblLayout w:type="fixed"/>
        </w:tblPrEx>
        <w:trPr>
          <w:trHeight w:hRule="exact" w:val="255"/>
        </w:trPr>
        <w:tc>
          <w:tcPr>
            <w:tcW w:w="75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2670"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6"/>
                <w:u w:val="none"/>
              </w:rPr>
              <w:t>Nine Months Ended September 30,</w:t>
            </w:r>
          </w:p>
        </w:tc>
      </w:tr>
      <w:tr>
        <w:tblPrEx>
          <w:tblW w:w="10245" w:type="dxa"/>
          <w:tblLayout w:type="fixed"/>
        </w:tblPrEx>
        <w:trPr>
          <w:trHeight w:hRule="exact" w:val="255"/>
        </w:trPr>
        <w:tc>
          <w:tcPr>
            <w:tcW w:w="75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16"/>
                <w:u w:val="none"/>
              </w:rPr>
              <w:t>2026</w:t>
            </w:r>
          </w:p>
        </w:tc>
        <w:tc>
          <w:tcPr>
            <w:tcW w:w="60"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rPr>
                <w:sz w:val="16"/>
              </w:rPr>
            </w:pPr>
          </w:p>
        </w:tc>
        <w:tc>
          <w:tcPr>
            <w:tcW w:w="1305"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16"/>
                <w:u w:val="none"/>
              </w:rPr>
              <w:t>2025</w:t>
            </w:r>
          </w:p>
        </w:tc>
      </w:tr>
      <w:tr>
        <w:tblPrEx>
          <w:tblW w:w="10245" w:type="dxa"/>
          <w:tblLayout w:type="fixed"/>
        </w:tblPrEx>
        <w:trPr>
          <w:trHeight w:hRule="exact" w:val="255"/>
        </w:trPr>
        <w:tc>
          <w:tcPr>
            <w:tcW w:w="10245" w:type="dxa"/>
            <w:gridSpan w:val="4"/>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Reconciliation of cash, cash equivalents, restricted cash, and restricted cash equivalents to the Condensed Consolidated Balance Sheets</w:t>
            </w:r>
          </w:p>
        </w:tc>
      </w:tr>
      <w:tr>
        <w:tblPrEx>
          <w:tblW w:w="10245"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Cash and cash equivalents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53" w:after="30" w:line="240" w:lineRule="auto"/>
              <w:jc w:val="right"/>
            </w:pPr>
            <w:r>
              <w:rPr>
                <w:rFonts w:ascii="Times New Roman" w:eastAsia="Times New Roman" w:hAnsi="Times New Roman" w:cs="Times New Roman"/>
                <w:b w:val="0"/>
                <w:i w:val="0"/>
                <w:color w:val="000000"/>
                <w:sz w:val="16"/>
                <w:u w:val="none"/>
              </w:rPr>
              <w:t>$</w:t>
              <w:tab/>
              <w:t>16,780</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53" w:after="30" w:line="240" w:lineRule="auto"/>
              <w:jc w:val="right"/>
            </w:pPr>
            <w:r>
              <w:rPr>
                <w:rFonts w:ascii="Times New Roman" w:eastAsia="Times New Roman" w:hAnsi="Times New Roman" w:cs="Times New Roman"/>
                <w:b w:val="0"/>
                <w:i w:val="0"/>
                <w:color w:val="000000"/>
                <w:sz w:val="16"/>
                <w:u w:val="none"/>
              </w:rPr>
              <w:t>$</w:t>
              <w:tab/>
              <w:t>21,520</w:t>
              <w:tab/>
            </w:r>
          </w:p>
        </w:tc>
      </w:tr>
      <w:tr>
        <w:tblPrEx>
          <w:tblW w:w="10245"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40"/>
              <w:jc w:val="left"/>
            </w:pPr>
            <w:r>
              <w:rPr>
                <w:rFonts w:ascii="Times New Roman" w:eastAsia="Times New Roman" w:hAnsi="Times New Roman" w:cs="Times New Roman"/>
                <w:b w:val="0"/>
                <w:i w:val="0"/>
                <w:color w:val="000000"/>
                <w:sz w:val="16"/>
                <w:u w:val="none"/>
              </w:rPr>
              <w:t>Restricted cash and restricted cash equivalents included in funds held for clients</w:t>
            </w: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666"/>
                <w:tab w:val="left" w:pos="1237"/>
              </w:tabs>
              <w:spacing w:before="53" w:after="30" w:line="240" w:lineRule="auto"/>
              <w:jc w:val="right"/>
            </w:pPr>
            <w:r>
              <w:rPr>
                <w:rFonts w:ascii="Times New Roman" w:eastAsia="Times New Roman" w:hAnsi="Times New Roman" w:cs="Times New Roman"/>
                <w:b w:val="0"/>
                <w:i w:val="0"/>
                <w:color w:val="000000"/>
                <w:sz w:val="16"/>
                <w:u w:val="none"/>
              </w:rPr>
              <w:tab/>
              <w:t>101,742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746"/>
                <w:tab w:val="left" w:pos="1237"/>
              </w:tabs>
              <w:spacing w:before="53" w:after="30" w:line="240" w:lineRule="auto"/>
              <w:jc w:val="right"/>
            </w:pPr>
            <w:r>
              <w:rPr>
                <w:rFonts w:ascii="Times New Roman" w:eastAsia="Times New Roman" w:hAnsi="Times New Roman" w:cs="Times New Roman"/>
                <w:b w:val="0"/>
                <w:i w:val="0"/>
                <w:color w:val="000000"/>
                <w:sz w:val="16"/>
                <w:u w:val="none"/>
              </w:rPr>
              <w:tab/>
              <w:t>63,947</w:t>
              <w:tab/>
            </w:r>
          </w:p>
        </w:tc>
      </w:tr>
      <w:tr>
        <w:tblPrEx>
          <w:tblW w:w="10245"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88" w:lineRule="auto"/>
              <w:jc w:val="left"/>
            </w:pPr>
            <w:r>
              <w:rPr>
                <w:rFonts w:ascii="Times New Roman" w:eastAsia="Times New Roman" w:hAnsi="Times New Roman" w:cs="Times New Roman"/>
                <w:b w:val="0"/>
                <w:i w:val="0"/>
                <w:color w:val="000000"/>
                <w:sz w:val="16"/>
                <w:u w:val="none"/>
              </w:rPr>
              <w:t>Total cash, cash equivalents, restricted cash, and restricted cash equivalents</w:t>
            </w:r>
          </w:p>
        </w:tc>
        <w:tc>
          <w:tcPr>
            <w:tcW w:w="13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66"/>
                <w:tab w:val="left" w:pos="1237"/>
              </w:tabs>
              <w:spacing w:before="33" w:after="30" w:line="240" w:lineRule="auto"/>
              <w:jc w:val="right"/>
            </w:pPr>
            <w:r>
              <w:rPr>
                <w:rFonts w:ascii="Times New Roman" w:eastAsia="Times New Roman" w:hAnsi="Times New Roman" w:cs="Times New Roman"/>
                <w:b w:val="0"/>
                <w:i w:val="0"/>
                <w:color w:val="000000"/>
                <w:sz w:val="16"/>
                <w:u w:val="none"/>
              </w:rPr>
              <w:t>$</w:t>
              <w:tab/>
              <w:t>118,522</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746"/>
                <w:tab w:val="left" w:pos="1237"/>
              </w:tabs>
              <w:spacing w:before="33" w:after="30" w:line="240" w:lineRule="auto"/>
              <w:jc w:val="right"/>
            </w:pPr>
            <w:r>
              <w:rPr>
                <w:rFonts w:ascii="Times New Roman" w:eastAsia="Times New Roman" w:hAnsi="Times New Roman" w:cs="Times New Roman"/>
                <w:b w:val="0"/>
                <w:i w:val="0"/>
                <w:color w:val="000000"/>
                <w:sz w:val="16"/>
                <w:u w:val="none"/>
              </w:rPr>
              <w:t>$</w:t>
              <w:tab/>
              <w:t>85,467</w:t>
              <w:tab/>
            </w:r>
          </w:p>
        </w:tc>
      </w:tr>
      <w:tr>
        <w:tblPrEx>
          <w:tblW w:w="10245" w:type="dxa"/>
          <w:tblLayout w:type="fixed"/>
        </w:tblPrEx>
        <w:trPr>
          <w:trHeight w:hRule="exact" w:val="255"/>
        </w:trPr>
        <w:tc>
          <w:tcPr>
            <w:tcW w:w="75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r>
      <w:tr>
        <w:tblPrEx>
          <w:tblW w:w="10245"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Supplemental information:</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245"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25"/>
              <w:jc w:val="left"/>
            </w:pPr>
            <w:r>
              <w:rPr>
                <w:rFonts w:ascii="Times New Roman" w:eastAsia="Times New Roman" w:hAnsi="Times New Roman" w:cs="Times New Roman"/>
                <w:b w:val="0"/>
                <w:i w:val="0"/>
                <w:color w:val="000000"/>
                <w:sz w:val="16"/>
                <w:u w:val="none"/>
              </w:rPr>
              <w:t>Cash paid for interest</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4,609</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1,720</w:t>
              <w:tab/>
            </w:r>
          </w:p>
        </w:tc>
      </w:tr>
      <w:tr>
        <w:tblPrEx>
          <w:tblW w:w="10245" w:type="dxa"/>
          <w:tblLayout w:type="fixed"/>
        </w:tblPrEx>
        <w:trPr>
          <w:trHeight w:hRule="exact" w:val="285"/>
        </w:trPr>
        <w:tc>
          <w:tcPr>
            <w:tcW w:w="75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16"/>
              </w:rPr>
            </w:pPr>
          </w:p>
        </w:tc>
      </w:tr>
      <w:tr>
        <w:tblPrEx>
          <w:tblW w:w="10245"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jc w:val="left"/>
            </w:pPr>
            <w:r>
              <w:rPr>
                <w:rFonts w:ascii="Times New Roman" w:eastAsia="Times New Roman" w:hAnsi="Times New Roman" w:cs="Times New Roman"/>
                <w:b w:val="0"/>
                <w:i w:val="0"/>
                <w:color w:val="000000"/>
                <w:sz w:val="16"/>
                <w:u w:val="none"/>
              </w:rPr>
              <w:t>Non-cash investing and financing activities:</w:t>
            </w:r>
          </w:p>
        </w:tc>
        <w:tc>
          <w:tcPr>
            <w:tcW w:w="13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c>
          <w:tcPr>
            <w:tcW w:w="13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16"/>
              </w:rPr>
            </w:pPr>
          </w:p>
        </w:tc>
      </w:tr>
      <w:tr>
        <w:tblPrEx>
          <w:tblW w:w="10245"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25"/>
              <w:jc w:val="left"/>
            </w:pPr>
            <w:r>
              <w:rPr>
                <w:rFonts w:ascii="Times New Roman" w:eastAsia="Times New Roman" w:hAnsi="Times New Roman" w:cs="Times New Roman"/>
                <w:b w:val="0"/>
                <w:i w:val="0"/>
                <w:color w:val="000000"/>
                <w:sz w:val="16"/>
                <w:u w:val="none"/>
              </w:rPr>
              <w:t>Acquisition of intangible assets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472</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1,603</w:t>
              <w:tab/>
            </w:r>
          </w:p>
        </w:tc>
      </w:tr>
      <w:tr>
        <w:tblPrEx>
          <w:tblW w:w="10245"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88" w:lineRule="auto"/>
              <w:ind w:left="225"/>
              <w:jc w:val="left"/>
            </w:pPr>
            <w:r>
              <w:rPr>
                <w:rFonts w:ascii="Times New Roman" w:eastAsia="Times New Roman" w:hAnsi="Times New Roman" w:cs="Times New Roman"/>
                <w:b w:val="0"/>
                <w:i w:val="0"/>
                <w:color w:val="000000"/>
                <w:sz w:val="16"/>
                <w:u w:val="none"/>
              </w:rPr>
              <w:t>Notes payable issued for acquisitions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592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5,078</w:t>
              <w:tab/>
            </w:r>
          </w:p>
        </w:tc>
      </w:tr>
      <w:tr>
        <w:tblPrEx>
          <w:tblW w:w="10245" w:type="dxa"/>
          <w:tblLayout w:type="fixed"/>
        </w:tblPrEx>
        <w:trPr>
          <w:trHeight w:hRule="exact" w:val="255"/>
        </w:trPr>
        <w:tc>
          <w:tcPr>
            <w:tcW w:w="757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88" w:lineRule="auto"/>
              <w:ind w:left="225"/>
              <w:jc w:val="left"/>
            </w:pPr>
            <w:r>
              <w:rPr>
                <w:rFonts w:ascii="Times New Roman" w:eastAsia="Times New Roman" w:hAnsi="Times New Roman" w:cs="Times New Roman"/>
                <w:b w:val="0"/>
                <w:i w:val="0"/>
                <w:color w:val="000000"/>
                <w:sz w:val="16"/>
                <w:u w:val="none"/>
              </w:rPr>
              <w:t>Shares issued for acquisitions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445</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4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956</w:t>
              <w:tab/>
            </w:r>
          </w:p>
        </w:tc>
      </w:tr>
      <w:tr>
        <w:tblPrEx>
          <w:tblW w:w="10245" w:type="dxa"/>
          <w:tblLayout w:type="fixed"/>
        </w:tblPrEx>
        <w:trPr>
          <w:trHeight w:hRule="exact" w:val="255"/>
        </w:trPr>
        <w:tc>
          <w:tcPr>
            <w:tcW w:w="757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53" w:after="30" w:line="288" w:lineRule="auto"/>
              <w:ind w:left="225"/>
              <w:jc w:val="left"/>
            </w:pPr>
            <w:r>
              <w:rPr>
                <w:rFonts w:ascii="Times New Roman" w:eastAsia="Times New Roman" w:hAnsi="Times New Roman" w:cs="Times New Roman"/>
                <w:b w:val="0"/>
                <w:i w:val="0"/>
                <w:color w:val="000000"/>
                <w:sz w:val="16"/>
                <w:u w:val="none"/>
              </w:rPr>
              <w:t>Shares issued for debt payments</w:t>
            </w: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pageBreakBefore w:val="0"/>
              <w:tabs>
                <w:tab w:val="left" w:pos="102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nil"/>
              <w:left w:val="nil"/>
              <w:bottom w:val="nil"/>
              <w:right w:val="nil"/>
            </w:tcBorders>
            <w:shd w:val="clear" w:color="auto" w:fill="CCEEFF"/>
            <w:tcMar>
              <w:top w:w="0" w:type="dxa"/>
              <w:left w:w="0" w:type="dxa"/>
              <w:bottom w:w="0" w:type="dxa"/>
              <w:right w:w="15" w:type="dxa"/>
            </w:tcMar>
            <w:vAlign w:val="bottom"/>
          </w:tcPr>
          <w:p>
            <w:pPr>
              <w:pageBreakBefore w:val="0"/>
              <w:tabs>
                <w:tab w:val="left" w:pos="826"/>
                <w:tab w:val="left" w:pos="1237"/>
              </w:tabs>
              <w:spacing w:before="53" w:after="30" w:line="288" w:lineRule="auto"/>
              <w:jc w:val="right"/>
            </w:pPr>
            <w:r>
              <w:rPr>
                <w:rFonts w:ascii="Times New Roman" w:eastAsia="Times New Roman" w:hAnsi="Times New Roman" w:cs="Times New Roman"/>
                <w:b w:val="0"/>
                <w:i w:val="0"/>
                <w:color w:val="000000"/>
                <w:sz w:val="16"/>
                <w:u w:val="none"/>
              </w:rPr>
              <w:t>$</w:t>
              <w:tab/>
              <w:t>1,059</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accompanying notes are an integral part of these Condensed Consolidated Financial Statements.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headerReference w:type="default" r:id="rId16"/>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center"/>
        <w:outlineLvl w:val="2"/>
        <w:rPr>
          <w:rFonts w:ascii="Times New Roman" w:eastAsia="Times New Roman" w:hAnsi="Times New Roman" w:cs="Times New Roman"/>
          <w:b/>
          <w:i w:val="0"/>
          <w:sz w:val="20"/>
        </w:rPr>
      </w:pPr>
      <w:bookmarkStart w:id="8" w:name="Section9"/>
      <w:bookmarkEnd w:id="8"/>
      <w:r>
        <w:rPr>
          <w:rFonts w:ascii="Times New Roman" w:eastAsia="Times New Roman" w:hAnsi="Times New Roman" w:cs="Times New Roman"/>
          <w:b/>
          <w:i w:val="0"/>
          <w:sz w:val="20"/>
        </w:rPr>
        <w:t>ASURE SOFTWARE, INC.</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NOTES TO THE CONDENSED CONSOLIDATED FINANCIAL STATEMENTS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(Amounts in thousands, except per share data unless otherwise noted)</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(Unaudited)</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sectPr>
          <w:headerReference w:type="default" r:id="rId17"/>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1080" w:right="0" w:hanging="1080"/>
        <w:jc w:val="both"/>
        <w:outlineLvl w:val="3"/>
        <w:rPr>
          <w:rFonts w:ascii="Times New Roman" w:eastAsia="Times New Roman" w:hAnsi="Times New Roman" w:cs="Times New Roman"/>
          <w:b/>
          <w:i w:val="0"/>
          <w:sz w:val="20"/>
        </w:rPr>
      </w:pPr>
      <w:bookmarkStart w:id="9" w:name="Section10"/>
      <w:bookmarkEnd w:id="9"/>
      <w:r>
        <w:rPr>
          <w:rFonts w:ascii="Times New Roman" w:eastAsia="Times New Roman" w:hAnsi="Times New Roman" w:cs="Times New Roman"/>
          <w:b/>
          <w:i w:val="0"/>
          <w:color w:val="000000"/>
          <w:sz w:val="20"/>
          <w:u w:val="none"/>
        </w:rPr>
        <w:t xml:space="preserve">NOTE 1 - </w:t>
      </w:r>
      <w:r>
        <w:rPr>
          <w:rFonts w:ascii="Times New Roman" w:eastAsia="Times New Roman" w:hAnsi="Times New Roman" w:cs="Times New Roman"/>
          <w:b/>
          <w:i w:val="0"/>
          <w:color w:val="000000"/>
          <w:sz w:val="20"/>
          <w:u w:val="none"/>
        </w:rPr>
        <w:t>THE COMPANY AND BASIS OF PRESENTATION</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Asure Software, Inc. (“Asure”, the “Company”, “we” and “our”), a Delaware corporation, is a </w:t>
      </w:r>
      <w:r>
        <w:rPr>
          <w:rFonts w:ascii="Times New Roman" w:eastAsia="Times New Roman" w:hAnsi="Times New Roman" w:cs="Times New Roman"/>
          <w:b w:val="0"/>
          <w:i w:val="0"/>
          <w:color w:val="000000"/>
          <w:sz w:val="20"/>
          <w:u w:val="none"/>
        </w:rPr>
        <w:t>provider of cloud-based Human Capital Management (“HCM”) software solutions delivered as Software-as-a-Service (“SaaS”) to businesses of all sizes. We offer human resources (“HR”) tools necessary to build a thriving workforce, provide the resources to stay compliant with dynamic federal, state, and local tax jurisdictions and their respective labor laws, freeing cash flows so these businesses can spend their financial capital on growing their businesses rather than administrative overhead that can impede growth. Our solutions also provide new ways for employers to connect with their employees and strengthen relationships with their talent. At the core of our offering is the Asure HCM platform—a SaaS-based system that includes Payroll &amp; Tax filing, HR management tools, Time &amp; Attendance software, Recruiting, and Insurance and Benefits Administration. This platform serves as the foundation for delivering both our core software and a range of complementary, technology-enabled services. These include AsureMarketplace™, which automates data exchange between our HCM system and third-party providers to increase efficiency, accuracy, and breadth of services. Our HR Compliance services combine expert guidance with scalable digital delivery. AsurePay®, our payroll card, which we provide in association with our partners, offers employees fast, secure access to earned wages. Additionally, through our licensed brokerage, we offer Insurance Services that help employers manage benefits and reduce administrative costs. We deliver our solutions directly and through a national network of Reseller Partners.</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We strive to be the most trusted HCM resource.</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Our solutions solve three primary challenges that prevent businesses from growing: HR complexity, allocation of human and financial capital, and the ability to build great teams. We sell our solutions through both direct and partner channels. We supplement our direct sales efforts with partner programs that afford us access to opportunities in various geographic and industry niches. Asure has two types of partners: Reseller Partners that white label our products while providing value-added services to their clients (our indirect clients) and Referral Partners that provide us with client leads but do not resell our solutions. We have and will continue to invest in research and development to expand our solutions. Our solutions reduce the administrative burden on employers and increase employee productivity while managing the employment lifecycle. The Asure HCM suite includes eight product lines: Asure Payroll &amp; Tax, Asure HR Compliance, Asure Time &amp; Attendance, AsureRecruiting®, Asure Insurance and Benefits Administration, AsurePay™, Asure Tax Management Solutions,  and AsureMarketplace™.</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We develop, market, sell and support our offerings nationwide through our principal office in Austin, Texas, and from our processing hubs in</w:t>
      </w:r>
      <w:r>
        <w:rPr>
          <w:rFonts w:ascii="Times New Roman" w:eastAsia="Times New Roman" w:hAnsi="Times New Roman" w:cs="Times New Roman"/>
          <w:b w:val="0"/>
          <w:i w:val="0"/>
          <w:color w:val="000000"/>
          <w:sz w:val="20"/>
          <w:highlight w:val="white"/>
          <w:u w:val="none"/>
        </w:rPr>
        <w:t xml:space="preserve"> </w:t>
      </w:r>
      <w:r>
        <w:rPr>
          <w:rFonts w:ascii="Times New Roman" w:eastAsia="Times New Roman" w:hAnsi="Times New Roman" w:cs="Times New Roman"/>
          <w:b w:val="0"/>
          <w:i w:val="0"/>
          <w:color w:val="000000"/>
          <w:sz w:val="20"/>
          <w:u w:val="none"/>
        </w:rPr>
        <w:t>Alabama, California, Florida, Georgia, New Jersey, New York, North Carolina, Ohio, South Dakota, Tennessee, Texas, Virginia, and Vermont</w:t>
      </w:r>
      <w:r>
        <w:rPr>
          <w:rFonts w:ascii="Times New Roman" w:eastAsia="Times New Roman" w:hAnsi="Times New Roman" w:cs="Times New Roman"/>
          <w:b w:val="0"/>
          <w:i w:val="0"/>
          <w:color w:val="000000"/>
          <w:sz w:val="20"/>
          <w:u w:val="none"/>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We have prepared the accompanying unaudited Condensed Consolidated Financial Statements in accordance with the rules and regulations of the Securities and Exchange Commission (the “SEC”) and accordingly, they do not include all information and footnotes required under U.S. generally accepted accounting principles (“U.S. GAAP”) for complete financial statements.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In the opinion of management, these interim financial statements contain all adjustments, consisting of normal, recurring adjustments, necessary for a fair presentation of our financial position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comprehensive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color w:val="000000"/>
          <w:sz w:val="20"/>
          <w:u w:val="none"/>
        </w:rPr>
        <w:t xml:space="preserve"> and</w:t>
      </w:r>
      <w:r>
        <w:rPr>
          <w:rFonts w:ascii="Times New Roman" w:eastAsia="Times New Roman" w:hAnsi="Times New Roman" w:cs="Times New Roman"/>
          <w:b w:val="0"/>
          <w:i w:val="0"/>
          <w:color w:val="000000"/>
          <w:sz w:val="20"/>
          <w:highlight w:val="white"/>
          <w:u w:val="none"/>
        </w:rPr>
        <w:t xml:space="preserve"> changes in stockholders’ equity for the three and </w:t>
      </w:r>
      <w:r>
        <w:rPr>
          <w:rFonts w:ascii="Times New Roman" w:eastAsia="Times New Roman" w:hAnsi="Times New Roman" w:cs="Times New Roman"/>
          <w:b w:val="0"/>
          <w:i w:val="0"/>
          <w:color w:val="000000"/>
          <w:sz w:val="20"/>
          <w:highlight w:val="white"/>
          <w:u w:val="none"/>
        </w:rPr>
        <w:t>nine months ended September 30, 2026</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highlight w:val="white"/>
          <w:u w:val="none"/>
        </w:rPr>
        <w:t xml:space="preserve">, and cash flows for the </w:t>
      </w:r>
      <w:r>
        <w:rPr>
          <w:rFonts w:ascii="Times New Roman" w:eastAsia="Times New Roman" w:hAnsi="Times New Roman" w:cs="Times New Roman"/>
          <w:b w:val="0"/>
          <w:i w:val="0"/>
          <w:color w:val="000000"/>
          <w:sz w:val="20"/>
          <w:highlight w:val="white"/>
          <w:u w:val="none"/>
        </w:rPr>
        <w:t>nine months ended September 30, 2026</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highlight w:val="white"/>
          <w:u w:val="none"/>
        </w:rPr>
        <w:t>. Certain amounts in the prior period financial statements have been reclassified to conform to the presentation of the current period financial statements. These reclassifications had no effect on the consolidated financial position or consolidated results of operations of the Company.</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These unaudited Condensed Consolidated Financial Statements should be read in conjunction with our audited Consolidated Financial Statements and notes thereto filed with the SEC in our annual report on Form 10-K for the fiscal year ended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color w:val="000000"/>
          <w:sz w:val="20"/>
          <w:u w:val="none"/>
        </w:rPr>
        <w:t xml:space="preserve"> (our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 xml:space="preserve"> Annual Report on Form 10-K”). Our results for any interim period are not necessarily indicative of results for a full fiscal year.</w:t>
      </w:r>
      <w:r>
        <w:rPr>
          <w:rFonts w:ascii="Times New Roman" w:eastAsia="Times New Roman" w:hAnsi="Times New Roman" w:cs="Times New Roman"/>
          <w:b w:val="0"/>
          <w:i w:val="0"/>
          <w:sz w:val="20"/>
        </w:rPr>
        <w:t xml:space="preserve">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3"/>
        <w:rPr>
          <w:rFonts w:ascii="Times New Roman" w:eastAsia="Times New Roman" w:hAnsi="Times New Roman" w:cs="Times New Roman"/>
          <w:b/>
          <w:i w:val="0"/>
          <w:sz w:val="20"/>
        </w:rPr>
      </w:pPr>
      <w:bookmarkStart w:id="10" w:name="Section11"/>
      <w:bookmarkEnd w:id="10"/>
      <w:r>
        <w:rPr>
          <w:rFonts w:ascii="Times New Roman" w:eastAsia="Times New Roman" w:hAnsi="Times New Roman" w:cs="Times New Roman"/>
          <w:b/>
          <w:i w:val="0"/>
          <w:sz w:val="20"/>
        </w:rPr>
        <w:t xml:space="preserve">NOTE 2 - </w:t>
      </w:r>
      <w:r>
        <w:rPr>
          <w:rFonts w:ascii="Times New Roman" w:eastAsia="Times New Roman" w:hAnsi="Times New Roman" w:cs="Times New Roman"/>
          <w:b/>
          <w:i w:val="0"/>
          <w:color w:val="000000"/>
          <w:sz w:val="20"/>
          <w:u w:val="none"/>
        </w:rPr>
        <w:t>SIGNIFICANT ACCOUNTING POLICIES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REPORTABLE SEGMENTS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Our chief operating decision maker is our Chairman and Chief Executive Officer, Patrick Goepel, who reviews financial information presented on a company-wide basis. Thus, in accordance with Financial Accounting Standards Board (“FASB”) Accounting Standards Codification (“ASC”) 280, we determined that we have a single reportable segment that primarily derives our revenue in the United States by providing payroll services to customers.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USE OF ESTIMATES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singl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Preparation of the Condensed Consolidated Financial Statements in conformity with U.S. GAAP requires management to make estimates and assumptions that affect the reported amounts of the assets and liabilities, the disclosure of contingent assets and liabilities at the date of the Condensed Consolidated Financial Statements and the reported amounts of revenues and expenses during the reporting period. These estimates are subjective in nature and involve judgments. The more significant estimates made by management include the valuation allowance for the gross deferred tax assets, the determination of the fair value of our long-lived assets, and the fair value of assets acquired, and liabilities assumed during acquisitions. We base our estimates on historical experience and on various other assumptions management believes reasonable under the given circumstances. These estimates could be materially different under different conditions and assumptions.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CASH AND CASH EQUIVALENTS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singl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val="0"/>
          <w:i w:val="0"/>
          <w:color w:val="000000"/>
          <w:sz w:val="20"/>
          <w:u w:val="none"/>
        </w:rPr>
        <w:t>We consider all highly liquid investments with maturity of 90 days or less to be cash equivalents. Cash equivalents include investments in an institutional money market fund, which invests in U.S. Treasury bills, notes and bonds, and/or repurchase agreements, backed by such obligations. Carrying value approximates fair value.</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INVENTORIES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val="0"/>
          <w:i w:val="0"/>
          <w:color w:val="000000"/>
          <w:sz w:val="20"/>
          <w:u w:val="none"/>
        </w:rPr>
        <w:t>Our inventories consist primarily of finished goods and are stated at the lower of cost or net realizable value with cost determined on an average cost basis. Items included in costs of inventory consist of labor, material, overhead costs, freight in, and additional transaction costs such as taxes and tariffs.</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Provisions are made if the cost of inventories exceeds their net realizable value and are charged to cost of sales. We did not recognize any provision for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u w:val="none"/>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RECENT ACCOUNTING PRONOUNCEMENTS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singl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highlight w:val="white"/>
          <w:u w:val="single"/>
        </w:rPr>
      </w:pPr>
      <w:r>
        <w:rPr>
          <w:rFonts w:ascii="Times New Roman" w:eastAsia="Times New Roman" w:hAnsi="Times New Roman" w:cs="Times New Roman"/>
          <w:b w:val="0"/>
          <w:i w:val="0"/>
          <w:color w:val="000000"/>
          <w:sz w:val="20"/>
          <w:u w:val="none"/>
        </w:rPr>
        <w:t>In July 2025, the FASB issued ASU No. 2025-05, Measurement of Credit Losses for Accounts Receivable and Contract Assets, which provides a practical expedient to assume that, for estimating expected credit losses, current conditions as of the balance sheet date will remain constant through the remaining life of the assets. The practical expedient is available to all entities. The standard becomes effective for all entities for annual periods beginning after December 15, 2025. We adopted this standard prospectively for the annual period ending December 31, 2026. This guidance did not have an impact on our financial position, results of operations, or cash flows.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 xml:space="preserve">ACCUMULATED OTHER COMPREHENSIVE </w:t>
      </w:r>
      <w:r>
        <w:rPr>
          <w:rFonts w:ascii="Times New Roman" w:eastAsia="Times New Roman" w:hAnsi="Times New Roman" w:cs="Times New Roman"/>
          <w:b/>
          <w:i w:val="0"/>
          <w:color w:val="000000"/>
          <w:sz w:val="20"/>
          <w:u w:val="none"/>
        </w:rPr>
        <w:t>INCOME (LOSS)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color w:val="000000"/>
          <w:sz w:val="20"/>
          <w:u w:val="singl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single"/>
        </w:rPr>
      </w:pPr>
      <w:r>
        <w:rPr>
          <w:rFonts w:ascii="Times New Roman" w:eastAsia="Times New Roman" w:hAnsi="Times New Roman" w:cs="Times New Roman"/>
          <w:b w:val="0"/>
          <w:i w:val="0"/>
          <w:color w:val="000000"/>
          <w:sz w:val="20"/>
          <w:u w:val="none"/>
        </w:rPr>
        <w:t xml:space="preserve">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color w:val="000000"/>
          <w:sz w:val="20"/>
          <w:u w:val="none"/>
        </w:rPr>
        <w:t xml:space="preserve">, accumulated other comprehensive </w:t>
      </w:r>
      <w:r>
        <w:rPr>
          <w:rFonts w:ascii="Times New Roman" w:eastAsia="Times New Roman" w:hAnsi="Times New Roman" w:cs="Times New Roman"/>
          <w:b w:val="0"/>
          <w:i w:val="0"/>
          <w:color w:val="000000"/>
          <w:sz w:val="20"/>
          <w:u w:val="none"/>
        </w:rPr>
        <w:t>income (loss)</w:t>
      </w:r>
      <w:r>
        <w:rPr>
          <w:rFonts w:ascii="Times New Roman" w:eastAsia="Times New Roman" w:hAnsi="Times New Roman" w:cs="Times New Roman"/>
          <w:b w:val="0"/>
          <w:i w:val="0"/>
          <w:color w:val="000000"/>
          <w:sz w:val="20"/>
          <w:u w:val="none"/>
        </w:rPr>
        <w:t xml:space="preserve"> consisted of net unrealized gains and losses on available-for-sale securities.</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left"/>
        <w:outlineLvl w:val="3"/>
        <w:rPr>
          <w:rFonts w:ascii="Times New Roman" w:eastAsia="Times New Roman" w:hAnsi="Times New Roman" w:cs="Times New Roman"/>
          <w:b w:val="0"/>
          <w:i w:val="0"/>
          <w:sz w:val="20"/>
        </w:rPr>
      </w:pPr>
      <w:bookmarkStart w:id="11" w:name="Section12"/>
      <w:bookmarkEnd w:id="11"/>
      <w:r>
        <w:rPr>
          <w:rFonts w:ascii="Times New Roman" w:eastAsia="Times New Roman" w:hAnsi="Times New Roman" w:cs="Times New Roman"/>
          <w:b/>
          <w:i w:val="0"/>
          <w:color w:val="000000"/>
          <w:sz w:val="20"/>
          <w:highlight w:val="white"/>
          <w:u w:val="none"/>
        </w:rPr>
        <w:t xml:space="preserve">NOTE 3 - </w:t>
      </w:r>
      <w:r>
        <w:rPr>
          <w:rFonts w:ascii="Times New Roman" w:eastAsia="Times New Roman" w:hAnsi="Times New Roman" w:cs="Times New Roman"/>
          <w:b/>
          <w:i w:val="0"/>
          <w:color w:val="000000"/>
          <w:sz w:val="20"/>
          <w:highlight w:val="white"/>
          <w:u w:val="none"/>
        </w:rPr>
        <w:t>BUSINESS COMBINATIONS AND ASSET ACQUISITIONS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2026</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u w:val="single"/>
        </w:rPr>
      </w:pPr>
      <w:r>
        <w:rPr>
          <w:rFonts w:ascii="Times New Roman" w:eastAsia="Times New Roman" w:hAnsi="Times New Roman" w:cs="Times New Roman"/>
          <w:b w:val="0"/>
          <w:i/>
          <w:color w:val="000000"/>
          <w:sz w:val="20"/>
          <w:u w:val="none"/>
        </w:rPr>
        <w:t>Asset Acquisitions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During the</w:t>
      </w:r>
      <w:r>
        <w:rPr>
          <w:rFonts w:ascii="Times New Roman" w:eastAsia="Times New Roman" w:hAnsi="Times New Roman" w:cs="Times New Roman"/>
          <w:b w:val="0"/>
          <w:i w:val="0"/>
          <w:color w:val="000000"/>
          <w:sz w:val="20"/>
          <w:highlight w:val="white"/>
          <w:u w:val="none"/>
        </w:rPr>
        <w:t xml:space="preserv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color w:val="000000"/>
          <w:sz w:val="20"/>
          <w:u w:val="none"/>
        </w:rPr>
        <w:t xml:space="preserve">, we completed </w:t>
      </w:r>
      <w:r>
        <w:rPr>
          <w:rFonts w:ascii="Times New Roman" w:eastAsia="Times New Roman" w:hAnsi="Times New Roman" w:cs="Times New Roman"/>
          <w:b w:val="0"/>
          <w:i w:val="0"/>
          <w:color w:val="000000"/>
          <w:sz w:val="20"/>
          <w:u w:val="none"/>
        </w:rPr>
        <w:t>two</w:t>
      </w:r>
      <w:r>
        <w:rPr>
          <w:rFonts w:ascii="Times New Roman" w:eastAsia="Times New Roman" w:hAnsi="Times New Roman" w:cs="Times New Roman"/>
          <w:b w:val="0"/>
          <w:i w:val="0"/>
          <w:color w:val="000000"/>
          <w:sz w:val="20"/>
          <w:u w:val="none"/>
        </w:rPr>
        <w:t xml:space="preserve"> customer relationship asset acquisitions. The total purchase price of these acquisitions was </w:t>
      </w:r>
      <w:r>
        <w:rPr>
          <w:rFonts w:ascii="Times New Roman" w:eastAsia="Times New Roman" w:hAnsi="Times New Roman" w:cs="Times New Roman"/>
          <w:b w:val="0"/>
          <w:i w:val="0"/>
          <w:color w:val="000000"/>
          <w:sz w:val="20"/>
          <w:u w:val="none"/>
        </w:rPr>
        <w:t>$6,230</w:t>
      </w:r>
      <w:r>
        <w:rPr>
          <w:rFonts w:ascii="Times New Roman" w:eastAsia="Times New Roman" w:hAnsi="Times New Roman" w:cs="Times New Roman"/>
          <w:b w:val="0"/>
          <w:i w:val="0"/>
          <w:color w:val="000000"/>
          <w:sz w:val="20"/>
          <w:u w:val="none"/>
        </w:rPr>
        <w:t xml:space="preserve">, which consisted of </w:t>
      </w:r>
      <w:r>
        <w:rPr>
          <w:rFonts w:ascii="Times New Roman" w:eastAsia="Times New Roman" w:hAnsi="Times New Roman" w:cs="Times New Roman"/>
          <w:b w:val="0"/>
          <w:i w:val="0"/>
          <w:color w:val="000000"/>
          <w:sz w:val="20"/>
          <w:u w:val="none"/>
        </w:rPr>
        <w:t>$4,748</w:t>
      </w:r>
      <w:r>
        <w:rPr>
          <w:rFonts w:ascii="Times New Roman" w:eastAsia="Times New Roman" w:hAnsi="Times New Roman" w:cs="Times New Roman"/>
          <w:b w:val="0"/>
          <w:i w:val="0"/>
          <w:color w:val="000000"/>
          <w:sz w:val="20"/>
          <w:u w:val="none"/>
        </w:rPr>
        <w:t xml:space="preserve"> of cash paid during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color w:val="000000"/>
          <w:sz w:val="20"/>
          <w:highlight w:val="white"/>
          <w:u w:val="none"/>
        </w:rPr>
        <w:t xml:space="preserve">, </w:t>
      </w:r>
      <w:r>
        <w:rPr>
          <w:rFonts w:ascii="Times New Roman" w:eastAsia="Times New Roman" w:hAnsi="Times New Roman" w:cs="Times New Roman"/>
          <w:b w:val="0"/>
          <w:i w:val="0"/>
          <w:color w:val="000000"/>
          <w:sz w:val="20"/>
          <w:u w:val="none"/>
        </w:rPr>
        <w:t>$158</w:t>
      </w:r>
      <w:r>
        <w:rPr>
          <w:rFonts w:ascii="Times New Roman" w:eastAsia="Times New Roman" w:hAnsi="Times New Roman" w:cs="Times New Roman"/>
          <w:b w:val="0"/>
          <w:i w:val="0"/>
          <w:color w:val="000000"/>
          <w:sz w:val="20"/>
          <w:u w:val="none"/>
        </w:rPr>
        <w:t xml:space="preserve"> of cash to be paid over the next 12 months, the delivery of promissory notes in the amount of </w:t>
      </w:r>
      <w:r>
        <w:rPr>
          <w:rFonts w:ascii="Times New Roman" w:eastAsia="Times New Roman" w:hAnsi="Times New Roman" w:cs="Times New Roman"/>
          <w:b w:val="0"/>
          <w:i w:val="0"/>
          <w:color w:val="000000"/>
          <w:sz w:val="20"/>
          <w:u w:val="none"/>
        </w:rPr>
        <w:t>$879</w:t>
      </w:r>
      <w:r>
        <w:rPr>
          <w:rFonts w:ascii="Times New Roman" w:eastAsia="Times New Roman" w:hAnsi="Times New Roman" w:cs="Times New Roman"/>
          <w:b w:val="0"/>
          <w:i w:val="0"/>
          <w:color w:val="000000"/>
          <w:sz w:val="20"/>
          <w:u w:val="none"/>
        </w:rPr>
        <w:t xml:space="preserve">, net of discounts, and the delivery of </w:t>
      </w:r>
      <w:r>
        <w:rPr>
          <w:rFonts w:ascii="Times New Roman" w:eastAsia="Times New Roman" w:hAnsi="Times New Roman" w:cs="Times New Roman"/>
          <w:b w:val="0"/>
          <w:i w:val="0"/>
          <w:color w:val="000000"/>
          <w:sz w:val="20"/>
          <w:u w:val="none"/>
        </w:rPr>
        <w:t>49</w:t>
      </w:r>
      <w:r>
        <w:rPr>
          <w:rFonts w:ascii="Times New Roman" w:eastAsia="Times New Roman" w:hAnsi="Times New Roman" w:cs="Times New Roman"/>
          <w:b w:val="0"/>
          <w:i w:val="0"/>
          <w:color w:val="000000"/>
          <w:sz w:val="20"/>
          <w:u w:val="none"/>
        </w:rPr>
        <w:t xml:space="preserve"> shares of Asure common stock, which had an aggregate fair value of </w:t>
      </w:r>
      <w:r>
        <w:rPr>
          <w:rFonts w:ascii="Times New Roman" w:eastAsia="Times New Roman" w:hAnsi="Times New Roman" w:cs="Times New Roman"/>
          <w:b w:val="0"/>
          <w:i w:val="0"/>
          <w:color w:val="000000"/>
          <w:sz w:val="20"/>
          <w:u w:val="none"/>
        </w:rPr>
        <w:t>$445</w:t>
      </w:r>
      <w:r>
        <w:rPr>
          <w:rFonts w:ascii="Times New Roman" w:eastAsia="Times New Roman" w:hAnsi="Times New Roman" w:cs="Times New Roman"/>
          <w:b w:val="0"/>
          <w:i w:val="0"/>
          <w:color w:val="000000"/>
          <w:sz w:val="20"/>
          <w:u w:val="none"/>
        </w:rPr>
        <w:t xml:space="preserve"> at the acquisition dates. The acquired customer relationships are recorded as intangible assets and are being amortized on a straight-line basis over </w:t>
      </w:r>
      <w:r>
        <w:rPr>
          <w:rFonts w:ascii="Times New Roman" w:eastAsia="Times New Roman" w:hAnsi="Times New Roman" w:cs="Times New Roman"/>
          <w:b w:val="0"/>
          <w:i w:val="0"/>
          <w:color w:val="000000"/>
          <w:sz w:val="20"/>
          <w:u w:val="none"/>
        </w:rPr>
        <w:t>eight years</w:t>
      </w:r>
      <w:r>
        <w:rPr>
          <w:rFonts w:ascii="Times New Roman" w:eastAsia="Times New Roman" w:hAnsi="Times New Roman" w:cs="Times New Roman"/>
          <w:b w:val="0"/>
          <w:i w:val="0"/>
          <w:color w:val="000000"/>
          <w:sz w:val="20"/>
          <w:u w:val="none"/>
        </w:rPr>
        <w:t>.</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highlight w:val="white"/>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color w:val="000000"/>
          <w:sz w:val="20"/>
          <w:u w:val="none"/>
        </w:rPr>
        <w:t>2025</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color w:val="000000"/>
          <w:sz w:val="20"/>
          <w:u w:val="none"/>
        </w:rPr>
        <w:t>Business Combinations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Effective July 1, 2025, we acquired </w:t>
      </w:r>
      <w:r>
        <w:rPr>
          <w:rFonts w:ascii="Times New Roman" w:eastAsia="Times New Roman" w:hAnsi="Times New Roman" w:cs="Times New Roman"/>
          <w:b w:val="0"/>
          <w:i w:val="0"/>
          <w:color w:val="000000"/>
          <w:sz w:val="20"/>
          <w:u w:val="none"/>
        </w:rPr>
        <w:t>100%</w:t>
      </w:r>
      <w:r>
        <w:rPr>
          <w:rFonts w:ascii="Times New Roman" w:eastAsia="Times New Roman" w:hAnsi="Times New Roman" w:cs="Times New Roman"/>
          <w:b w:val="0"/>
          <w:i w:val="0"/>
          <w:color w:val="000000"/>
          <w:sz w:val="20"/>
          <w:u w:val="none"/>
        </w:rPr>
        <w:t xml:space="preserve"> of the membership interests of Lathem Time 2025 LLC (f/k/a Lathem Time Corporation, “Lathem”), whose technology will be used to expand the capabilities of our broader suite of HR solutions, specifically in time and attendance systems. The aggregate purchase price that we paid for the membership interests was </w:t>
      </w:r>
      <w:r>
        <w:rPr>
          <w:rFonts w:ascii="Times New Roman" w:eastAsia="Times New Roman" w:hAnsi="Times New Roman" w:cs="Times New Roman"/>
          <w:b w:val="0"/>
          <w:i w:val="0"/>
          <w:color w:val="000000"/>
          <w:sz w:val="20"/>
          <w:u w:val="none"/>
        </w:rPr>
        <w:t>$39,497</w:t>
      </w:r>
      <w:r>
        <w:rPr>
          <w:rFonts w:ascii="Times New Roman" w:eastAsia="Times New Roman" w:hAnsi="Times New Roman" w:cs="Times New Roman"/>
          <w:b w:val="0"/>
          <w:i w:val="0"/>
          <w:color w:val="000000"/>
          <w:sz w:val="20"/>
          <w:u w:val="none"/>
        </w:rPr>
        <w:t xml:space="preserve">, consisting of </w:t>
      </w:r>
      <w:r>
        <w:rPr>
          <w:rFonts w:ascii="Times New Roman" w:eastAsia="Times New Roman" w:hAnsi="Times New Roman" w:cs="Times New Roman"/>
          <w:b w:val="0"/>
          <w:i w:val="0"/>
          <w:color w:val="000000"/>
          <w:sz w:val="20"/>
          <w:u w:val="none"/>
        </w:rPr>
        <w:t>$37,500</w:t>
      </w:r>
      <w:r>
        <w:rPr>
          <w:rFonts w:ascii="Times New Roman" w:eastAsia="Times New Roman" w:hAnsi="Times New Roman" w:cs="Times New Roman"/>
          <w:b w:val="0"/>
          <w:i w:val="0"/>
          <w:color w:val="000000"/>
          <w:sz w:val="20"/>
          <w:u w:val="none"/>
        </w:rPr>
        <w:t xml:space="preserve"> paid in cash on hand and the remaining </w:t>
      </w:r>
      <w:r>
        <w:rPr>
          <w:rFonts w:ascii="Times New Roman" w:eastAsia="Times New Roman" w:hAnsi="Times New Roman" w:cs="Times New Roman"/>
          <w:b w:val="0"/>
          <w:i w:val="0"/>
          <w:color w:val="000000"/>
          <w:sz w:val="20"/>
          <w:u w:val="none"/>
        </w:rPr>
        <w:t>$2,221</w:t>
      </w:r>
      <w:r>
        <w:rPr>
          <w:rFonts w:ascii="Times New Roman" w:eastAsia="Times New Roman" w:hAnsi="Times New Roman" w:cs="Times New Roman"/>
          <w:b w:val="0"/>
          <w:i w:val="0"/>
          <w:color w:val="000000"/>
          <w:sz w:val="20"/>
          <w:u w:val="none"/>
        </w:rPr>
        <w:t xml:space="preserve"> in the form of a promissory note (</w:t>
      </w:r>
      <w:r>
        <w:rPr>
          <w:rFonts w:ascii="Times New Roman" w:eastAsia="Times New Roman" w:hAnsi="Times New Roman" w:cs="Times New Roman"/>
          <w:b w:val="0"/>
          <w:i w:val="0"/>
          <w:color w:val="000000"/>
          <w:sz w:val="20"/>
          <w:u w:val="none"/>
        </w:rPr>
        <w:t>$1,997</w:t>
      </w:r>
      <w:r>
        <w:rPr>
          <w:rFonts w:ascii="Times New Roman" w:eastAsia="Times New Roman" w:hAnsi="Times New Roman" w:cs="Times New Roman"/>
          <w:b w:val="0"/>
          <w:i w:val="0"/>
          <w:color w:val="000000"/>
          <w:sz w:val="20"/>
          <w:u w:val="none"/>
        </w:rPr>
        <w:t xml:space="preserve"> net of discount).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following table summarizes the amounts of assets acquired and liabilities assumed at the acquisition date, valued at their estimated acquisition-date fair value:</w:t>
      </w:r>
    </w:p>
    <w:tbl>
      <w:tblPr>
        <w:tblStyle w:val="TableNormal0"/>
        <w:tblW w:w="6540" w:type="dxa"/>
        <w:jc w:val="center"/>
        <w:tblLayout w:type="fixed"/>
      </w:tblPr>
      <w:tblGrid>
        <w:gridCol w:w="4800"/>
        <w:gridCol w:w="1740"/>
      </w:tblGrid>
      <w:tr>
        <w:tblPrEx>
          <w:tblW w:w="6540" w:type="dxa"/>
          <w:tblLayout w:type="fixed"/>
        </w:tblPrEx>
        <w:trPr>
          <w:trHeight w:hRule="exact" w:val="465"/>
        </w:trPr>
        <w:tc>
          <w:tcPr>
            <w:tcW w:w="480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74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Acquisition Date Fair Value</w:t>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ind w:left="120"/>
              <w:jc w:val="left"/>
            </w:pPr>
            <w:r>
              <w:rPr>
                <w:rFonts w:ascii="Times New Roman" w:eastAsia="Times New Roman" w:hAnsi="Times New Roman" w:cs="Times New Roman"/>
                <w:b w:val="0"/>
                <w:i w:val="0"/>
                <w:color w:val="000000"/>
                <w:sz w:val="20"/>
                <w:u w:val="none"/>
              </w:rPr>
              <w:t>Accounts receivable</w:t>
            </w:r>
          </w:p>
        </w:tc>
        <w:tc>
          <w:tcPr>
            <w:tcW w:w="174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57"/>
                <w:tab w:val="left" w:pos="1672"/>
              </w:tabs>
              <w:spacing w:before="33" w:after="30" w:line="240" w:lineRule="auto"/>
              <w:jc w:val="right"/>
            </w:pPr>
            <w:r>
              <w:rPr>
                <w:rFonts w:ascii="Times New Roman" w:eastAsia="Times New Roman" w:hAnsi="Times New Roman" w:cs="Times New Roman"/>
                <w:b w:val="0"/>
                <w:i w:val="0"/>
                <w:color w:val="000000"/>
                <w:sz w:val="20"/>
                <w:u w:val="none"/>
              </w:rPr>
              <w:t>$</w:t>
              <w:tab/>
              <w:t>2,020</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Inventory</w:t>
            </w:r>
          </w:p>
        </w:tc>
        <w:tc>
          <w:tcPr>
            <w:tcW w:w="17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57"/>
                <w:tab w:val="left" w:pos="1672"/>
              </w:tabs>
              <w:spacing w:before="53" w:after="30" w:line="240" w:lineRule="auto"/>
              <w:jc w:val="right"/>
            </w:pPr>
            <w:r>
              <w:rPr>
                <w:rFonts w:ascii="Times New Roman" w:eastAsia="Times New Roman" w:hAnsi="Times New Roman" w:cs="Times New Roman"/>
                <w:b w:val="0"/>
                <w:i w:val="0"/>
                <w:color w:val="000000"/>
                <w:sz w:val="20"/>
                <w:u w:val="none"/>
              </w:rPr>
              <w:tab/>
              <w:t>3,380</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Prepaid expenses and other current assets</w:t>
            </w:r>
          </w:p>
        </w:tc>
        <w:tc>
          <w:tcPr>
            <w:tcW w:w="17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177</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Property and equipment, net</w:t>
            </w:r>
          </w:p>
        </w:tc>
        <w:tc>
          <w:tcPr>
            <w:tcW w:w="17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185</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Intangible assets, net</w:t>
            </w:r>
          </w:p>
        </w:tc>
        <w:tc>
          <w:tcPr>
            <w:tcW w:w="17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57"/>
                <w:tab w:val="left" w:pos="1672"/>
              </w:tabs>
              <w:spacing w:before="53" w:after="30" w:line="240" w:lineRule="auto"/>
              <w:jc w:val="right"/>
            </w:pPr>
            <w:r>
              <w:rPr>
                <w:rFonts w:ascii="Times New Roman" w:eastAsia="Times New Roman" w:hAnsi="Times New Roman" w:cs="Times New Roman"/>
                <w:b w:val="0"/>
                <w:i w:val="0"/>
                <w:color w:val="000000"/>
                <w:sz w:val="20"/>
                <w:u w:val="none"/>
              </w:rPr>
              <w:tab/>
              <w:t>16,500</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Operating lease assets, net</w:t>
            </w:r>
          </w:p>
        </w:tc>
        <w:tc>
          <w:tcPr>
            <w:tcW w:w="17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826</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Other assets, net</w:t>
            </w:r>
          </w:p>
        </w:tc>
        <w:tc>
          <w:tcPr>
            <w:tcW w:w="17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777</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assets acquired</w:t>
            </w:r>
          </w:p>
        </w:tc>
        <w:tc>
          <w:tcPr>
            <w:tcW w:w="174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57"/>
                <w:tab w:val="left" w:pos="1672"/>
              </w:tabs>
              <w:spacing w:before="33" w:after="30" w:line="240" w:lineRule="auto"/>
              <w:jc w:val="right"/>
            </w:pPr>
            <w:r>
              <w:rPr>
                <w:rFonts w:ascii="Times New Roman" w:eastAsia="Times New Roman" w:hAnsi="Times New Roman" w:cs="Times New Roman"/>
                <w:b w:val="0"/>
                <w:i w:val="0"/>
                <w:color w:val="000000"/>
                <w:sz w:val="20"/>
                <w:u w:val="none"/>
              </w:rPr>
              <w:tab/>
              <w:t>23,865</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Accounts payable</w:t>
            </w:r>
          </w:p>
        </w:tc>
        <w:tc>
          <w:tcPr>
            <w:tcW w:w="17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474</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Operating lease liabilities, current</w:t>
            </w:r>
          </w:p>
        </w:tc>
        <w:tc>
          <w:tcPr>
            <w:tcW w:w="174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826</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Other accrued liabilities</w:t>
            </w:r>
          </w:p>
        </w:tc>
        <w:tc>
          <w:tcPr>
            <w:tcW w:w="174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07"/>
                <w:tab w:val="left" w:pos="1672"/>
              </w:tabs>
              <w:spacing w:before="53" w:after="30" w:line="240" w:lineRule="auto"/>
              <w:jc w:val="right"/>
            </w:pPr>
            <w:r>
              <w:rPr>
                <w:rFonts w:ascii="Times New Roman" w:eastAsia="Times New Roman" w:hAnsi="Times New Roman" w:cs="Times New Roman"/>
                <w:b w:val="0"/>
                <w:i w:val="0"/>
                <w:color w:val="000000"/>
                <w:sz w:val="20"/>
                <w:u w:val="none"/>
              </w:rPr>
              <w:tab/>
              <w:t>615</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Deferred revenue</w:t>
            </w:r>
          </w:p>
        </w:tc>
        <w:tc>
          <w:tcPr>
            <w:tcW w:w="174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157"/>
                <w:tab w:val="left" w:pos="1672"/>
              </w:tabs>
              <w:spacing w:before="53" w:after="30" w:line="240" w:lineRule="auto"/>
              <w:jc w:val="right"/>
            </w:pPr>
            <w:r>
              <w:rPr>
                <w:rFonts w:ascii="Times New Roman" w:eastAsia="Times New Roman" w:hAnsi="Times New Roman" w:cs="Times New Roman"/>
                <w:b w:val="0"/>
                <w:i w:val="0"/>
                <w:color w:val="000000"/>
                <w:sz w:val="20"/>
                <w:u w:val="none"/>
              </w:rPr>
              <w:tab/>
              <w:t>3,488</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liabilities assumed</w:t>
            </w:r>
          </w:p>
        </w:tc>
        <w:tc>
          <w:tcPr>
            <w:tcW w:w="1740"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57"/>
                <w:tab w:val="left" w:pos="1672"/>
              </w:tabs>
              <w:spacing w:before="33" w:after="30" w:line="240" w:lineRule="auto"/>
              <w:jc w:val="right"/>
            </w:pPr>
            <w:r>
              <w:rPr>
                <w:rFonts w:ascii="Times New Roman" w:eastAsia="Times New Roman" w:hAnsi="Times New Roman" w:cs="Times New Roman"/>
                <w:b w:val="0"/>
                <w:i w:val="0"/>
                <w:color w:val="000000"/>
                <w:sz w:val="20"/>
                <w:u w:val="none"/>
              </w:rPr>
              <w:tab/>
              <w:t>5,403</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net assets acquired</w:t>
            </w:r>
          </w:p>
        </w:tc>
        <w:tc>
          <w:tcPr>
            <w:tcW w:w="1740"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57"/>
                <w:tab w:val="left" w:pos="1672"/>
              </w:tabs>
              <w:spacing w:before="33" w:after="30" w:line="240" w:lineRule="auto"/>
              <w:jc w:val="right"/>
            </w:pPr>
            <w:r>
              <w:rPr>
                <w:rFonts w:ascii="Times New Roman" w:eastAsia="Times New Roman" w:hAnsi="Times New Roman" w:cs="Times New Roman"/>
                <w:b w:val="0"/>
                <w:i w:val="0"/>
                <w:color w:val="000000"/>
                <w:sz w:val="20"/>
                <w:u w:val="none"/>
              </w:rPr>
              <w:tab/>
              <w:t>18,462</w:t>
              <w:tab/>
            </w:r>
          </w:p>
        </w:tc>
      </w:tr>
      <w:tr>
        <w:tblPrEx>
          <w:tblW w:w="6540" w:type="dxa"/>
          <w:tblLayout w:type="fixed"/>
        </w:tblPrEx>
        <w:trPr>
          <w:trHeight w:hRule="exact" w:val="315"/>
        </w:trPr>
        <w:tc>
          <w:tcPr>
            <w:tcW w:w="48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Goodwill</w:t>
            </w:r>
          </w:p>
        </w:tc>
        <w:tc>
          <w:tcPr>
            <w:tcW w:w="174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057"/>
                <w:tab w:val="left" w:pos="1672"/>
              </w:tabs>
              <w:spacing w:before="53" w:after="30" w:line="240" w:lineRule="auto"/>
              <w:jc w:val="right"/>
            </w:pPr>
            <w:r>
              <w:rPr>
                <w:rFonts w:ascii="Times New Roman" w:eastAsia="Times New Roman" w:hAnsi="Times New Roman" w:cs="Times New Roman"/>
                <w:b w:val="0"/>
                <w:i w:val="0"/>
                <w:color w:val="000000"/>
                <w:sz w:val="20"/>
                <w:u w:val="none"/>
              </w:rPr>
              <w:tab/>
              <w:t>21,035</w:t>
              <w:tab/>
            </w:r>
          </w:p>
        </w:tc>
      </w:tr>
      <w:tr>
        <w:tblPrEx>
          <w:tblW w:w="6540" w:type="dxa"/>
          <w:tblLayout w:type="fixed"/>
        </w:tblPrEx>
        <w:trPr>
          <w:trHeight w:hRule="exact" w:val="315"/>
        </w:trPr>
        <w:tc>
          <w:tcPr>
            <w:tcW w:w="4800"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 purchase price</w:t>
            </w:r>
          </w:p>
        </w:tc>
        <w:tc>
          <w:tcPr>
            <w:tcW w:w="174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1057"/>
                <w:tab w:val="left" w:pos="1672"/>
              </w:tabs>
              <w:spacing w:before="33" w:after="30" w:line="240" w:lineRule="auto"/>
              <w:jc w:val="right"/>
            </w:pPr>
            <w:r>
              <w:rPr>
                <w:rFonts w:ascii="Times New Roman" w:eastAsia="Times New Roman" w:hAnsi="Times New Roman" w:cs="Times New Roman"/>
                <w:b w:val="0"/>
                <w:i w:val="0"/>
                <w:color w:val="000000"/>
                <w:sz w:val="20"/>
                <w:u w:val="none"/>
              </w:rPr>
              <w:t>$</w:t>
              <w:tab/>
              <w:t>39,497</w:t>
              <w:tab/>
            </w:r>
          </w:p>
        </w:tc>
      </w:tr>
    </w:tbl>
    <w:p>
      <w:pPr>
        <w:keepNext w:val="0"/>
        <w:keepLines/>
        <w:pageBreakBefore w:val="0"/>
        <w:widowControl w:val="0"/>
        <w:numPr>
          <w:ilvl w:val="0"/>
          <w:numId w:val="0"/>
        </w:numPr>
        <w:spacing w:before="0" w:after="0" w:line="276" w:lineRule="auto"/>
        <w:ind w:left="0" w:right="0" w:firstLine="0"/>
        <w:jc w:val="left"/>
        <w:outlineLvl w:val="9"/>
        <w:rPr>
          <w:rFonts w:ascii="Arial" w:eastAsia="Arial" w:hAnsi="Arial" w:cs="Arial"/>
          <w:b w:val="0"/>
          <w:i w:val="0"/>
          <w:color w:val="000000"/>
          <w:sz w:val="24"/>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goodwill of </w:t>
      </w:r>
      <w:r>
        <w:rPr>
          <w:rFonts w:ascii="Times New Roman" w:eastAsia="Times New Roman" w:hAnsi="Times New Roman" w:cs="Times New Roman"/>
          <w:b w:val="0"/>
          <w:i w:val="0"/>
          <w:color w:val="000000"/>
          <w:sz w:val="20"/>
          <w:u w:val="none"/>
        </w:rPr>
        <w:t>$21,035</w:t>
      </w:r>
      <w:r>
        <w:rPr>
          <w:rFonts w:ascii="Times New Roman" w:eastAsia="Times New Roman" w:hAnsi="Times New Roman" w:cs="Times New Roman"/>
          <w:b w:val="0"/>
          <w:i w:val="0"/>
          <w:color w:val="000000"/>
          <w:sz w:val="20"/>
          <w:u w:val="none"/>
        </w:rPr>
        <w:t xml:space="preserve"> arising from the acquisition consists largely of the synergies and economies of scale expected from combining our operations with Lathem and is expected to be deductible for tax purposes.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u w:val="none"/>
        </w:rPr>
      </w:pPr>
      <w:r>
        <w:rPr>
          <w:rFonts w:ascii="Times New Roman" w:eastAsia="Times New Roman" w:hAnsi="Times New Roman" w:cs="Times New Roman"/>
          <w:b w:val="0"/>
          <w:i/>
          <w:color w:val="000000"/>
          <w:sz w:val="20"/>
          <w:u w:val="none"/>
        </w:rPr>
        <w:t>Asset Acquisitions</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u w:val="none"/>
        </w:rPr>
      </w:pPr>
      <w:r>
        <w:rPr>
          <w:rFonts w:ascii="Times New Roman" w:eastAsia="Times New Roman" w:hAnsi="Times New Roman" w:cs="Times New Roman"/>
          <w:b w:val="0"/>
          <w:i w:val="0"/>
          <w:color w:val="000000"/>
          <w:sz w:val="20"/>
          <w:u w:val="none"/>
        </w:rPr>
        <w:t xml:space="preserve">During the </w:t>
      </w:r>
      <w:r>
        <w:rPr>
          <w:rFonts w:ascii="Times New Roman" w:eastAsia="Times New Roman" w:hAnsi="Times New Roman" w:cs="Times New Roman"/>
          <w:b w:val="0"/>
          <w:i w:val="0"/>
          <w:color w:val="000000"/>
          <w:sz w:val="20"/>
          <w:u w:val="none"/>
        </w:rPr>
        <w:t>year ended December 31, 2025</w:t>
      </w:r>
      <w:r>
        <w:rPr>
          <w:rFonts w:ascii="Times New Roman" w:eastAsia="Times New Roman" w:hAnsi="Times New Roman" w:cs="Times New Roman"/>
          <w:b w:val="0"/>
          <w:i w:val="0"/>
          <w:color w:val="000000"/>
          <w:sz w:val="20"/>
          <w:u w:val="none"/>
        </w:rPr>
        <w:t xml:space="preserve">, we completed </w:t>
      </w:r>
      <w:r>
        <w:rPr>
          <w:rFonts w:ascii="Times New Roman" w:eastAsia="Times New Roman" w:hAnsi="Times New Roman" w:cs="Times New Roman"/>
          <w:b w:val="0"/>
          <w:i w:val="0"/>
          <w:color w:val="000000"/>
          <w:sz w:val="20"/>
          <w:u w:val="none"/>
        </w:rPr>
        <w:t>seven</w:t>
      </w:r>
      <w:r>
        <w:rPr>
          <w:rFonts w:ascii="Times New Roman" w:eastAsia="Times New Roman" w:hAnsi="Times New Roman" w:cs="Times New Roman"/>
          <w:b w:val="0"/>
          <w:i w:val="0"/>
          <w:color w:val="000000"/>
          <w:sz w:val="20"/>
          <w:u w:val="none"/>
        </w:rPr>
        <w:t xml:space="preserve"> customer relationship asset acquisitions. The total purchase price of these acquisitions was </w:t>
      </w:r>
      <w:r>
        <w:rPr>
          <w:rFonts w:ascii="Times New Roman" w:eastAsia="Times New Roman" w:hAnsi="Times New Roman" w:cs="Times New Roman"/>
          <w:b w:val="0"/>
          <w:i w:val="0"/>
          <w:color w:val="000000"/>
          <w:sz w:val="20"/>
          <w:u w:val="none"/>
        </w:rPr>
        <w:t>$20,612</w:t>
      </w:r>
      <w:r>
        <w:rPr>
          <w:rFonts w:ascii="Times New Roman" w:eastAsia="Times New Roman" w:hAnsi="Times New Roman" w:cs="Times New Roman"/>
          <w:b w:val="0"/>
          <w:i w:val="0"/>
          <w:color w:val="000000"/>
          <w:sz w:val="20"/>
          <w:u w:val="none"/>
        </w:rPr>
        <w:t xml:space="preserve">, which consisted of </w:t>
      </w:r>
      <w:r>
        <w:rPr>
          <w:rFonts w:ascii="Times New Roman" w:eastAsia="Times New Roman" w:hAnsi="Times New Roman" w:cs="Times New Roman"/>
          <w:b w:val="0"/>
          <w:i w:val="0"/>
          <w:color w:val="000000"/>
          <w:sz w:val="20"/>
          <w:u w:val="none"/>
        </w:rPr>
        <w:t>$16,019</w:t>
      </w:r>
      <w:r>
        <w:rPr>
          <w:rFonts w:ascii="Times New Roman" w:eastAsia="Times New Roman" w:hAnsi="Times New Roman" w:cs="Times New Roman"/>
          <w:b w:val="0"/>
          <w:i w:val="0"/>
          <w:color w:val="000000"/>
          <w:sz w:val="20"/>
          <w:u w:val="none"/>
        </w:rPr>
        <w:t xml:space="preserve"> of cash paid during the </w:t>
      </w:r>
      <w:r>
        <w:rPr>
          <w:rFonts w:ascii="Times New Roman" w:eastAsia="Times New Roman" w:hAnsi="Times New Roman" w:cs="Times New Roman"/>
          <w:b w:val="0"/>
          <w:i w:val="0"/>
          <w:color w:val="000000"/>
          <w:sz w:val="20"/>
          <w:u w:val="none"/>
        </w:rPr>
        <w:t>year ended December 31, 2025</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$85</w:t>
      </w:r>
      <w:r>
        <w:rPr>
          <w:rFonts w:ascii="Times New Roman" w:eastAsia="Times New Roman" w:hAnsi="Times New Roman" w:cs="Times New Roman"/>
          <w:b w:val="0"/>
          <w:i w:val="0"/>
          <w:color w:val="000000"/>
          <w:sz w:val="20"/>
          <w:u w:val="none"/>
        </w:rPr>
        <w:t xml:space="preserve"> of cash paid during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color w:val="000000"/>
          <w:sz w:val="20"/>
          <w:highlight w:val="white"/>
          <w:u w:val="none"/>
        </w:rPr>
        <w:t>,</w:t>
      </w:r>
      <w:r>
        <w:rPr>
          <w:rFonts w:ascii="Times New Roman" w:eastAsia="Times New Roman" w:hAnsi="Times New Roman" w:cs="Times New Roman"/>
          <w:b w:val="0"/>
          <w:i w:val="0"/>
          <w:color w:val="000000"/>
          <w:sz w:val="20"/>
          <w:u w:val="none"/>
        </w:rPr>
        <w:t xml:space="preserve"> the delivery of promissory notes in the amount of </w:t>
      </w:r>
      <w:r>
        <w:rPr>
          <w:rFonts w:ascii="Times New Roman" w:eastAsia="Times New Roman" w:hAnsi="Times New Roman" w:cs="Times New Roman"/>
          <w:b w:val="0"/>
          <w:i w:val="0"/>
          <w:color w:val="000000"/>
          <w:sz w:val="20"/>
          <w:u w:val="none"/>
        </w:rPr>
        <w:t>$3,552</w:t>
      </w:r>
      <w:r>
        <w:rPr>
          <w:rFonts w:ascii="Times New Roman" w:eastAsia="Times New Roman" w:hAnsi="Times New Roman" w:cs="Times New Roman"/>
          <w:b w:val="0"/>
          <w:i w:val="0"/>
          <w:color w:val="000000"/>
          <w:sz w:val="20"/>
          <w:u w:val="none"/>
        </w:rPr>
        <w:t xml:space="preserve">, net of discounts, and the delivery of </w:t>
      </w:r>
      <w:r>
        <w:rPr>
          <w:rFonts w:ascii="Times New Roman" w:eastAsia="Times New Roman" w:hAnsi="Times New Roman" w:cs="Times New Roman"/>
          <w:b w:val="0"/>
          <w:i w:val="0"/>
          <w:color w:val="000000"/>
          <w:sz w:val="20"/>
          <w:u w:val="none"/>
        </w:rPr>
        <w:t>124</w:t>
      </w:r>
      <w:r>
        <w:rPr>
          <w:rFonts w:ascii="Times New Roman" w:eastAsia="Times New Roman" w:hAnsi="Times New Roman" w:cs="Times New Roman"/>
          <w:b w:val="0"/>
          <w:i w:val="0"/>
          <w:color w:val="000000"/>
          <w:sz w:val="20"/>
          <w:u w:val="none"/>
        </w:rPr>
        <w:t xml:space="preserve"> shares of Asure common stock, which had an aggregate fair value of </w:t>
      </w:r>
      <w:r>
        <w:rPr>
          <w:rFonts w:ascii="Times New Roman" w:eastAsia="Times New Roman" w:hAnsi="Times New Roman" w:cs="Times New Roman"/>
          <w:b w:val="0"/>
          <w:i w:val="0"/>
          <w:color w:val="000000"/>
          <w:sz w:val="20"/>
          <w:u w:val="none"/>
        </w:rPr>
        <w:t>$956</w:t>
      </w:r>
      <w:r>
        <w:rPr>
          <w:rFonts w:ascii="Times New Roman" w:eastAsia="Times New Roman" w:hAnsi="Times New Roman" w:cs="Times New Roman"/>
          <w:b w:val="0"/>
          <w:i w:val="0"/>
          <w:color w:val="000000"/>
          <w:sz w:val="20"/>
          <w:u w:val="none"/>
        </w:rPr>
        <w:t xml:space="preserve"> at the acquisition dates. The acquired customer relationships are recorded as intangible assets and are being amortized on a straight-line basis over </w:t>
      </w:r>
      <w:r>
        <w:rPr>
          <w:rFonts w:ascii="Times New Roman" w:eastAsia="Times New Roman" w:hAnsi="Times New Roman" w:cs="Times New Roman"/>
          <w:b w:val="0"/>
          <w:i w:val="0"/>
          <w:color w:val="000000"/>
          <w:sz w:val="20"/>
          <w:u w:val="none"/>
        </w:rPr>
        <w:t>eight years</w:t>
      </w:r>
      <w:r>
        <w:rPr>
          <w:rFonts w:ascii="Times New Roman" w:eastAsia="Times New Roman" w:hAnsi="Times New Roman" w:cs="Times New Roman"/>
          <w:b w:val="0"/>
          <w:i w:val="0"/>
          <w:color w:val="000000"/>
          <w:sz w:val="20"/>
          <w:u w:val="none"/>
        </w:rPr>
        <w:t>.</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Arial" w:eastAsia="Arial" w:hAnsi="Arial" w:cs="Arial"/>
          <w:b w:val="0"/>
          <w:i w:val="0"/>
          <w:color w:val="000000"/>
          <w:sz w:val="24"/>
          <w:u w:val="none"/>
        </w:rPr>
        <w:sectPr>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3"/>
        <w:rPr>
          <w:rFonts w:ascii="Times New Roman" w:eastAsia="Times New Roman" w:hAnsi="Times New Roman" w:cs="Times New Roman"/>
          <w:b/>
          <w:i w:val="0"/>
          <w:sz w:val="20"/>
        </w:rPr>
      </w:pPr>
      <w:bookmarkStart w:id="12" w:name="Section13"/>
      <w:bookmarkEnd w:id="12"/>
      <w:r>
        <w:rPr>
          <w:rFonts w:ascii="Times New Roman" w:eastAsia="Times New Roman" w:hAnsi="Times New Roman" w:cs="Times New Roman"/>
          <w:b/>
          <w:i w:val="0"/>
          <w:sz w:val="20"/>
        </w:rPr>
        <w:t xml:space="preserve">NOTE 4 - </w:t>
      </w:r>
      <w:r>
        <w:rPr>
          <w:rFonts w:ascii="Times New Roman" w:eastAsia="Times New Roman" w:hAnsi="Times New Roman" w:cs="Times New Roman"/>
          <w:b/>
          <w:i w:val="0"/>
          <w:color w:val="000000"/>
          <w:sz w:val="20"/>
          <w:u w:val="none"/>
        </w:rPr>
        <w:t>INVESTMENTS AND FAIR VALUE MEASUREMENTS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val="0"/>
          <w:i w:val="0"/>
          <w:color w:val="000000"/>
          <w:sz w:val="20"/>
          <w:u w:val="none"/>
        </w:rPr>
        <w:t>Accounting Standards Codification (ASC) 820 “Fair Value Measurement” (“ASC 820”) defines fair value, establishes a framework for measuring fair value under U.S. GAAP and enhances disclosures about fair value measurements. Fair value is defined as the exchange price that would be received for an asset or paid to transfer a liability (an exit price) in the principal or most advantageous market for the asset or liability in an orderly transaction between market participants on the measurement date. Valuation techniques used to measure fair value must maximize the use of observable inputs and minimize the use of unobservable inputs. ASC 820 describes a fair value hierarchy based on the following three levels of inputs that may be used to measure fair value, of which the first two are considered observable and the last unobservable:</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tbl>
      <w:tblPr>
        <w:tblStyle w:val="TableNormal0"/>
        <w:tblW w:w="9570" w:type="dxa"/>
        <w:tblInd w:w="720" w:type="dxa"/>
        <w:tblLayout w:type="fixed"/>
      </w:tblPr>
      <w:tblGrid>
        <w:gridCol w:w="780"/>
        <w:gridCol w:w="195"/>
        <w:gridCol w:w="8595"/>
      </w:tblGrid>
      <w:tr>
        <w:tblPrEx>
          <w:tblW w:w="9570" w:type="dxa"/>
          <w:tblInd w:w="720" w:type="dxa"/>
          <w:tblLayout w:type="fixed"/>
        </w:tblPrEx>
        <w:trPr>
          <w:trHeight w:hRule="exact" w:val="315"/>
        </w:trPr>
        <w:tc>
          <w:tcPr>
            <w:tcW w:w="78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Level 1:</w:t>
            </w: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595"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Quoted prices in active markets for </w:t>
            </w:r>
            <w:r>
              <w:rPr>
                <w:rFonts w:ascii="Times New Roman" w:eastAsia="Times New Roman" w:hAnsi="Times New Roman" w:cs="Times New Roman"/>
                <w:b w:val="0"/>
                <w:i/>
                <w:sz w:val="20"/>
              </w:rPr>
              <w:t>identical</w:t>
            </w:r>
            <w:r>
              <w:rPr>
                <w:rFonts w:ascii="Times New Roman" w:eastAsia="Times New Roman" w:hAnsi="Times New Roman" w:cs="Times New Roman"/>
                <w:b w:val="0"/>
                <w:i w:val="0"/>
                <w:sz w:val="20"/>
              </w:rPr>
              <w:t xml:space="preserve"> assets or liabilities;</w:t>
            </w:r>
          </w:p>
        </w:tc>
      </w:tr>
      <w:tr>
        <w:tblPrEx>
          <w:tblW w:w="9570" w:type="dxa"/>
          <w:tblInd w:w="720" w:type="dxa"/>
          <w:tblLayout w:type="fixed"/>
        </w:tblPrEx>
        <w:trPr>
          <w:trHeight w:hRule="exact" w:val="315"/>
        </w:trPr>
        <w:tc>
          <w:tcPr>
            <w:tcW w:w="78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5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9570" w:type="dxa"/>
          <w:tblInd w:w="720" w:type="dxa"/>
          <w:tblLayout w:type="fixed"/>
        </w:tblPrEx>
        <w:trPr>
          <w:trHeight w:hRule="exact" w:val="675"/>
        </w:trPr>
        <w:tc>
          <w:tcPr>
            <w:tcW w:w="78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Level 2:</w:t>
            </w: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595"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Quoted prices in active markets for </w:t>
            </w:r>
            <w:r>
              <w:rPr>
                <w:rFonts w:ascii="Times New Roman" w:eastAsia="Times New Roman" w:hAnsi="Times New Roman" w:cs="Times New Roman"/>
                <w:b w:val="0"/>
                <w:i/>
                <w:sz w:val="20"/>
              </w:rPr>
              <w:t>similar</w:t>
            </w:r>
            <w:r>
              <w:rPr>
                <w:rFonts w:ascii="Times New Roman" w:eastAsia="Times New Roman" w:hAnsi="Times New Roman" w:cs="Times New Roman"/>
                <w:b w:val="0"/>
                <w:i w:val="0"/>
                <w:sz w:val="20"/>
              </w:rPr>
              <w:t xml:space="preserve"> assets or liabilities; quoted prices in markets that are not active for identical or similar assets or liabilities; and model-driven valuations whose significant inputs are observable; and</w:t>
            </w:r>
          </w:p>
        </w:tc>
      </w:tr>
      <w:tr>
        <w:tblPrEx>
          <w:tblW w:w="9570" w:type="dxa"/>
          <w:tblInd w:w="720" w:type="dxa"/>
          <w:tblLayout w:type="fixed"/>
        </w:tblPrEx>
        <w:trPr>
          <w:trHeight w:hRule="exact" w:val="315"/>
        </w:trPr>
        <w:tc>
          <w:tcPr>
            <w:tcW w:w="78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85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9570" w:type="dxa"/>
          <w:tblInd w:w="720" w:type="dxa"/>
          <w:tblLayout w:type="fixed"/>
        </w:tblPrEx>
        <w:trPr>
          <w:trHeight w:hRule="exact" w:val="465"/>
        </w:trPr>
        <w:tc>
          <w:tcPr>
            <w:tcW w:w="78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Level 3:</w:t>
            </w: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59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both"/>
            </w:pPr>
            <w:r>
              <w:rPr>
                <w:rFonts w:ascii="Times New Roman" w:eastAsia="Times New Roman" w:hAnsi="Times New Roman" w:cs="Times New Roman"/>
                <w:b w:val="0"/>
                <w:i w:val="0"/>
                <w:color w:val="000000"/>
                <w:sz w:val="20"/>
                <w:u w:val="none"/>
              </w:rPr>
              <w:t>Unobservable inputs that are supported by little or no market activity and that are significant to the fair value of the assets or liabilities.</w:t>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following table presents the fair value hierarchy for our financial assets and liabilities measured at fair value on a recurring basis for the periods presented below (in thousands):</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tbl>
      <w:tblPr>
        <w:tblStyle w:val="TableNormal0"/>
        <w:tblW w:w="10260" w:type="dxa"/>
        <w:jc w:val="center"/>
        <w:tblLayout w:type="fixed"/>
      </w:tblPr>
      <w:tblGrid>
        <w:gridCol w:w="4095"/>
        <w:gridCol w:w="1485"/>
        <w:gridCol w:w="75"/>
        <w:gridCol w:w="1485"/>
        <w:gridCol w:w="75"/>
        <w:gridCol w:w="1485"/>
        <w:gridCol w:w="75"/>
        <w:gridCol w:w="1485"/>
      </w:tblGrid>
      <w:tr>
        <w:tblPrEx>
          <w:tblW w:w="10260" w:type="dxa"/>
          <w:tblLayout w:type="fixed"/>
        </w:tblPrEx>
        <w:trPr>
          <w:trHeight w:hRule="exact" w:val="465"/>
        </w:trPr>
        <w:tc>
          <w:tcPr>
            <w:tcW w:w="40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Total Carrying Value</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Level 1</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Level 2</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Level 3</w:t>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i w:val="0"/>
                <w:color w:val="000000"/>
                <w:sz w:val="20"/>
                <w:u w:val="none"/>
              </w:rPr>
              <w:t>September 30, 2026</w:t>
            </w: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Assets:</w:t>
            </w:r>
          </w:p>
        </w:tc>
        <w:tc>
          <w:tcPr>
            <w:tcW w:w="14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 </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 </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 </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 </w:t>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Funds held for clients</w:t>
            </w: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Money market funds</w:t>
            </w: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4,926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4,926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Available-for-sale securities</w:t>
            </w: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93,004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93,004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97,930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4,926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93,004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w:t>
              <w:tab/>
            </w:r>
          </w:p>
        </w:tc>
      </w:tr>
      <w:tr>
        <w:tblPrEx>
          <w:tblW w:w="10260" w:type="dxa"/>
          <w:tblLayout w:type="fixed"/>
        </w:tblPrEx>
        <w:trPr>
          <w:trHeight w:hRule="exact" w:val="255"/>
        </w:trPr>
        <w:tc>
          <w:tcPr>
            <w:tcW w:w="409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December 31, 2025</w:t>
            </w: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Assets:</w:t>
            </w: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Funds held for clients</w:t>
            </w: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Money market funds</w:t>
            </w: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1,784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1,784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w:t>
              <w:tab/>
            </w: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Available-for-sale securities</w:t>
            </w:r>
          </w:p>
        </w:tc>
        <w:tc>
          <w:tcPr>
            <w:tcW w:w="148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88,652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88,652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48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90,436</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48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9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1,784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48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88,652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48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15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w:t>
              <w:tab/>
            </w:r>
          </w:p>
        </w:tc>
      </w:tr>
    </w:tbl>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Cash equivalents and investments classified as available-for-sale within funds held for clients consisted of the following for the periods presented below (in thousands):</w:t>
      </w:r>
    </w:p>
    <w:tbl>
      <w:tblPr>
        <w:tblStyle w:val="TableNormal0"/>
        <w:tblW w:w="10260" w:type="dxa"/>
        <w:jc w:val="center"/>
        <w:tblLayout w:type="fixed"/>
      </w:tblPr>
      <w:tblGrid>
        <w:gridCol w:w="4095"/>
        <w:gridCol w:w="1485"/>
        <w:gridCol w:w="75"/>
        <w:gridCol w:w="1485"/>
        <w:gridCol w:w="75"/>
        <w:gridCol w:w="1485"/>
        <w:gridCol w:w="75"/>
        <w:gridCol w:w="1485"/>
      </w:tblGrid>
      <w:tr>
        <w:tblPrEx>
          <w:tblW w:w="10260" w:type="dxa"/>
          <w:tblLayout w:type="fixed"/>
        </w:tblPrEx>
        <w:trPr>
          <w:trHeight w:hRule="exact" w:val="705"/>
        </w:trPr>
        <w:tc>
          <w:tcPr>
            <w:tcW w:w="40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line="240" w:lineRule="auto"/>
              <w:jc w:val="center"/>
            </w:pPr>
            <w:r>
              <w:rPr>
                <w:rFonts w:ascii="Times New Roman" w:eastAsia="Times New Roman" w:hAnsi="Times New Roman" w:cs="Times New Roman"/>
                <w:b/>
                <w:i w:val="0"/>
                <w:color w:val="000000"/>
                <w:sz w:val="20"/>
                <w:u w:val="none"/>
              </w:rPr>
              <w:t>Amortized</w:t>
            </w:r>
          </w:p>
          <w:p>
            <w:pPr>
              <w:spacing w:after="30" w:line="240" w:lineRule="auto"/>
              <w:jc w:val="center"/>
            </w:pPr>
            <w:r>
              <w:rPr>
                <w:rFonts w:ascii="Times New Roman" w:eastAsia="Times New Roman" w:hAnsi="Times New Roman" w:cs="Times New Roman"/>
                <w:b/>
                <w:i w:val="0"/>
                <w:color w:val="000000"/>
                <w:sz w:val="20"/>
                <w:u w:val="none"/>
              </w:rPr>
              <w:t>Cost</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numPr>
                <w:ilvl w:val="0"/>
                <w:numId w:val="0"/>
              </w:numPr>
              <w:spacing w:before="53" w:after="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Gross</w:t>
            </w:r>
          </w:p>
          <w:p>
            <w:pPr>
              <w:pageBreakBefore w:val="0"/>
              <w:numPr>
                <w:ilvl w:val="0"/>
                <w:numId w:val="0"/>
              </w:numPr>
              <w:spacing w:before="0" w:after="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Unrealized</w:t>
            </w:r>
          </w:p>
          <w:p>
            <w:pPr>
              <w:pageBreakBefore w:val="0"/>
              <w:numPr>
                <w:ilvl w:val="0"/>
                <w:numId w:val="0"/>
              </w:numPr>
              <w:spacing w:before="0" w:after="3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Gains </w:t>
            </w:r>
            <w:r>
              <w:rPr>
                <w:rFonts w:ascii="Times New Roman" w:eastAsia="Times New Roman" w:hAnsi="Times New Roman" w:cs="Times New Roman"/>
                <w:b/>
                <w:i w:val="0"/>
                <w:sz w:val="20"/>
                <w:vertAlign w:val="superscript"/>
              </w:rPr>
              <w:t>(1)</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numPr>
                <w:ilvl w:val="0"/>
                <w:numId w:val="0"/>
              </w:numPr>
              <w:spacing w:before="53" w:after="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Gross</w:t>
            </w:r>
          </w:p>
          <w:p>
            <w:pPr>
              <w:pageBreakBefore w:val="0"/>
              <w:numPr>
                <w:ilvl w:val="0"/>
                <w:numId w:val="0"/>
              </w:numPr>
              <w:spacing w:before="0" w:after="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Unrealized</w:t>
            </w:r>
          </w:p>
          <w:p>
            <w:pPr>
              <w:pageBreakBefore w:val="0"/>
              <w:numPr>
                <w:ilvl w:val="0"/>
                <w:numId w:val="0"/>
              </w:numPr>
              <w:spacing w:before="0" w:after="30" w:line="240" w:lineRule="auto"/>
              <w:ind w:left="0" w:right="0" w:firstLine="0"/>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Losses </w:t>
            </w:r>
            <w:r>
              <w:rPr>
                <w:rFonts w:ascii="Times New Roman" w:eastAsia="Times New Roman" w:hAnsi="Times New Roman" w:cs="Times New Roman"/>
                <w:b/>
                <w:i w:val="0"/>
                <w:sz w:val="20"/>
                <w:vertAlign w:val="superscript"/>
              </w:rPr>
              <w:t>(1)</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line="240" w:lineRule="auto"/>
              <w:jc w:val="center"/>
            </w:pPr>
            <w:r>
              <w:rPr>
                <w:rFonts w:ascii="Times New Roman" w:eastAsia="Times New Roman" w:hAnsi="Times New Roman" w:cs="Times New Roman"/>
                <w:b/>
                <w:i w:val="0"/>
                <w:color w:val="000000"/>
                <w:sz w:val="20"/>
                <w:u w:val="none"/>
              </w:rPr>
              <w:t>Aggregate</w:t>
            </w:r>
          </w:p>
          <w:p>
            <w:pPr>
              <w:spacing w:line="240" w:lineRule="auto"/>
              <w:jc w:val="center"/>
            </w:pPr>
            <w:r>
              <w:rPr>
                <w:rFonts w:ascii="Times New Roman" w:eastAsia="Times New Roman" w:hAnsi="Times New Roman" w:cs="Times New Roman"/>
                <w:b/>
                <w:i w:val="0"/>
                <w:color w:val="000000"/>
                <w:sz w:val="20"/>
                <w:u w:val="none"/>
              </w:rPr>
              <w:t>Estimated</w:t>
            </w:r>
          </w:p>
          <w:p>
            <w:pPr>
              <w:spacing w:after="30" w:line="240" w:lineRule="auto"/>
              <w:jc w:val="center"/>
            </w:pPr>
            <w:r>
              <w:rPr>
                <w:rFonts w:ascii="Times New Roman" w:eastAsia="Times New Roman" w:hAnsi="Times New Roman" w:cs="Times New Roman"/>
                <w:b/>
                <w:i w:val="0"/>
                <w:color w:val="000000"/>
                <w:sz w:val="20"/>
                <w:u w:val="none"/>
              </w:rPr>
              <w:t>Fair Value</w:t>
            </w:r>
          </w:p>
        </w:tc>
      </w:tr>
      <w:tr>
        <w:tblPrEx>
          <w:tblW w:w="10260" w:type="dxa"/>
          <w:tblLayout w:type="fixed"/>
        </w:tblPrEx>
        <w:trPr>
          <w:trHeight w:hRule="exact" w:val="300"/>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i w:val="0"/>
                <w:color w:val="000000"/>
                <w:sz w:val="20"/>
                <w:u w:val="none"/>
              </w:rPr>
              <w:t>September 30, 2026</w:t>
            </w: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Cash equivalents</w:t>
            </w: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4,925</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2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4,926</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Available-for-sale securities:</w:t>
            </w: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Corporate debt securities</w:t>
            </w: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91,517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252"/>
                <w:tab w:val="left" w:pos="1417"/>
              </w:tabs>
              <w:spacing w:before="53" w:after="30" w:line="240" w:lineRule="auto"/>
              <w:jc w:val="right"/>
            </w:pPr>
            <w:r>
              <w:rPr>
                <w:rFonts w:ascii="Times New Roman" w:eastAsia="Times New Roman" w:hAnsi="Times New Roman" w:cs="Times New Roman"/>
                <w:b w:val="0"/>
                <w:i w:val="0"/>
                <w:color w:val="000000"/>
                <w:sz w:val="20"/>
                <w:u w:val="none"/>
              </w:rPr>
              <w:tab/>
              <w:t>5</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16"/>
              </w:tabs>
              <w:spacing w:before="53" w:after="30" w:line="240" w:lineRule="auto"/>
              <w:jc w:val="right"/>
            </w:pPr>
            <w:r>
              <w:rPr>
                <w:rFonts w:ascii="Times New Roman" w:eastAsia="Times New Roman" w:hAnsi="Times New Roman" w:cs="Times New Roman"/>
                <w:b w:val="0"/>
                <w:i w:val="0"/>
                <w:color w:val="000000"/>
                <w:sz w:val="20"/>
                <w:u w:val="none"/>
              </w:rPr>
              <w:tab/>
              <w:t>(2,047)</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89,475</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U.S. Government agency securities</w:t>
            </w: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3,571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252"/>
                <w:tab w:val="left" w:pos="1417"/>
              </w:tabs>
              <w:spacing w:before="53" w:after="30" w:line="240" w:lineRule="auto"/>
              <w:jc w:val="right"/>
            </w:pPr>
            <w:r>
              <w:rPr>
                <w:rFonts w:ascii="Times New Roman" w:eastAsia="Times New Roman" w:hAnsi="Times New Roman" w:cs="Times New Roman"/>
                <w:b w:val="0"/>
                <w:i w:val="0"/>
                <w:color w:val="000000"/>
                <w:sz w:val="20"/>
                <w:u w:val="none"/>
              </w:rPr>
              <w:tab/>
              <w:t>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066"/>
              </w:tabs>
              <w:spacing w:before="53" w:after="30" w:line="240" w:lineRule="auto"/>
              <w:jc w:val="right"/>
            </w:pPr>
            <w:r>
              <w:rPr>
                <w:rFonts w:ascii="Times New Roman" w:eastAsia="Times New Roman" w:hAnsi="Times New Roman" w:cs="Times New Roman"/>
                <w:b w:val="0"/>
                <w:i w:val="0"/>
                <w:color w:val="000000"/>
                <w:sz w:val="20"/>
                <w:u w:val="none"/>
              </w:rPr>
              <w:tab/>
              <w:t>(43)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3,529</w:t>
              <w:tab/>
            </w: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available-for-sale securities</w:t>
            </w: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ab/>
              <w:t>95,088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1252"/>
                <w:tab w:val="left" w:pos="1417"/>
              </w:tabs>
              <w:spacing w:before="33" w:after="30" w:line="240" w:lineRule="auto"/>
              <w:jc w:val="right"/>
            </w:pPr>
            <w:r>
              <w:rPr>
                <w:rFonts w:ascii="Times New Roman" w:eastAsia="Times New Roman" w:hAnsi="Times New Roman" w:cs="Times New Roman"/>
                <w:b w:val="0"/>
                <w:i w:val="0"/>
                <w:color w:val="000000"/>
                <w:sz w:val="20"/>
                <w:u w:val="none"/>
              </w:rPr>
              <w:tab/>
              <w:t>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16"/>
              </w:tabs>
              <w:spacing w:before="33" w:after="30" w:line="240" w:lineRule="auto"/>
              <w:jc w:val="right"/>
            </w:pPr>
            <w:r>
              <w:rPr>
                <w:rFonts w:ascii="Times New Roman" w:eastAsia="Times New Roman" w:hAnsi="Times New Roman" w:cs="Times New Roman"/>
                <w:b w:val="0"/>
                <w:i w:val="0"/>
                <w:color w:val="000000"/>
                <w:sz w:val="20"/>
                <w:u w:val="none"/>
              </w:rPr>
              <w:tab/>
              <w:t>(2,090)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ab/>
              <w:t>93,004</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numPr>
                <w:ilvl w:val="0"/>
                <w:numId w:val="0"/>
              </w:numPr>
              <w:spacing w:before="3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Total</w:t>
            </w:r>
            <w:r>
              <w:rPr>
                <w:rFonts w:ascii="Times New Roman" w:eastAsia="Times New Roman" w:hAnsi="Times New Roman" w:cs="Times New Roman"/>
                <w:b w:val="0"/>
                <w:i w:val="0"/>
                <w:sz w:val="20"/>
                <w:vertAlign w:val="superscript"/>
              </w:rPr>
              <w:t>(2)</w:t>
            </w: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7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100,013</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125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16"/>
              </w:tabs>
              <w:spacing w:before="33" w:after="30" w:line="240" w:lineRule="auto"/>
              <w:jc w:val="right"/>
            </w:pPr>
            <w:r>
              <w:rPr>
                <w:rFonts w:ascii="Times New Roman" w:eastAsia="Times New Roman" w:hAnsi="Times New Roman" w:cs="Times New Roman"/>
                <w:b w:val="0"/>
                <w:i w:val="0"/>
                <w:color w:val="000000"/>
                <w:sz w:val="20"/>
                <w:u w:val="none"/>
              </w:rPr>
              <w:t>$</w:t>
              <w:tab/>
              <w:t>(2,090)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97,930</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December 31, 2025</w:t>
            </w: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Cash equivalents</w:t>
            </w: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1,787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66"/>
              </w:tabs>
              <w:spacing w:before="53" w:after="30" w:line="240" w:lineRule="auto"/>
              <w:jc w:val="right"/>
            </w:pPr>
            <w:r>
              <w:rPr>
                <w:rFonts w:ascii="Times New Roman" w:eastAsia="Times New Roman" w:hAnsi="Times New Roman" w:cs="Times New Roman"/>
                <w:b w:val="0"/>
                <w:i w:val="0"/>
                <w:color w:val="000000"/>
                <w:sz w:val="20"/>
                <w:u w:val="none"/>
              </w:rPr>
              <w:t>$</w:t>
              <w:tab/>
              <w:t>(3)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1,784</w:t>
              <w:tab/>
            </w: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Available-for-sale securities:</w:t>
            </w: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Corporate debt securities</w:t>
            </w: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83,160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52"/>
                <w:tab w:val="left" w:pos="1417"/>
              </w:tabs>
              <w:spacing w:before="53" w:after="30" w:line="240" w:lineRule="auto"/>
              <w:jc w:val="right"/>
            </w:pPr>
            <w:r>
              <w:rPr>
                <w:rFonts w:ascii="Times New Roman" w:eastAsia="Times New Roman" w:hAnsi="Times New Roman" w:cs="Times New Roman"/>
                <w:b w:val="0"/>
                <w:i w:val="0"/>
                <w:color w:val="000000"/>
                <w:sz w:val="20"/>
                <w:u w:val="none"/>
              </w:rPr>
              <w:tab/>
              <w:t>501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66"/>
              </w:tabs>
              <w:spacing w:before="53" w:after="30" w:line="240" w:lineRule="auto"/>
              <w:jc w:val="right"/>
            </w:pPr>
            <w:r>
              <w:rPr>
                <w:rFonts w:ascii="Times New Roman" w:eastAsia="Times New Roman" w:hAnsi="Times New Roman" w:cs="Times New Roman"/>
                <w:b w:val="0"/>
                <w:i w:val="0"/>
                <w:color w:val="000000"/>
                <w:sz w:val="20"/>
                <w:u w:val="none"/>
              </w:rPr>
              <w:tab/>
              <w:t>(77)</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83,584</w:t>
              <w:tab/>
            </w:r>
          </w:p>
        </w:tc>
      </w:tr>
      <w:tr>
        <w:tblPrEx>
          <w:tblW w:w="10260" w:type="dxa"/>
          <w:tblLayout w:type="fixed"/>
        </w:tblPrEx>
        <w:trPr>
          <w:trHeight w:hRule="exact" w:val="28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Municipal bonds</w:t>
            </w: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1,542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66"/>
              </w:tabs>
              <w:spacing w:before="53" w:after="30" w:line="240" w:lineRule="auto"/>
              <w:jc w:val="right"/>
            </w:pPr>
            <w:r>
              <w:rPr>
                <w:rFonts w:ascii="Times New Roman" w:eastAsia="Times New Roman" w:hAnsi="Times New Roman" w:cs="Times New Roman"/>
                <w:b w:val="0"/>
                <w:i w:val="0"/>
                <w:color w:val="000000"/>
                <w:sz w:val="20"/>
                <w:u w:val="none"/>
              </w:rPr>
              <w:tab/>
              <w:t>(17)</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1,525</w:t>
              <w:tab/>
            </w:r>
          </w:p>
        </w:tc>
      </w:tr>
      <w:tr>
        <w:tblPrEx>
          <w:tblW w:w="10260" w:type="dxa"/>
          <w:tblLayout w:type="fixed"/>
        </w:tblPrEx>
        <w:trPr>
          <w:trHeight w:hRule="exact" w:val="285"/>
        </w:trPr>
        <w:tc>
          <w:tcPr>
            <w:tcW w:w="40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U.S. Government agency securities</w:t>
            </w: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3,515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28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3,543</w:t>
              <w:tab/>
            </w:r>
          </w:p>
        </w:tc>
      </w:tr>
      <w:tr>
        <w:tblPrEx>
          <w:tblW w:w="10260" w:type="dxa"/>
          <w:tblLayout w:type="fixed"/>
        </w:tblPrEx>
        <w:trPr>
          <w:trHeight w:hRule="exact" w:val="31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available-for-sale securities</w:t>
            </w: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ab/>
              <w:t>88,217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52"/>
                <w:tab w:val="left" w:pos="1417"/>
              </w:tabs>
              <w:spacing w:before="33" w:after="30" w:line="240" w:lineRule="auto"/>
              <w:jc w:val="right"/>
            </w:pPr>
            <w:r>
              <w:rPr>
                <w:rFonts w:ascii="Times New Roman" w:eastAsia="Times New Roman" w:hAnsi="Times New Roman" w:cs="Times New Roman"/>
                <w:b w:val="0"/>
                <w:i w:val="0"/>
                <w:color w:val="000000"/>
                <w:sz w:val="20"/>
                <w:u w:val="none"/>
              </w:rPr>
              <w:tab/>
              <w:t>529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66"/>
              </w:tabs>
              <w:spacing w:before="33" w:after="30" w:line="240" w:lineRule="auto"/>
              <w:jc w:val="right"/>
            </w:pPr>
            <w:r>
              <w:rPr>
                <w:rFonts w:ascii="Times New Roman" w:eastAsia="Times New Roman" w:hAnsi="Times New Roman" w:cs="Times New Roman"/>
                <w:b w:val="0"/>
                <w:i w:val="0"/>
                <w:color w:val="000000"/>
                <w:sz w:val="20"/>
                <w:u w:val="none"/>
              </w:rPr>
              <w:tab/>
              <w:t>(94)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485" w:type="dxa"/>
            <w:tcBorders>
              <w:top w:val="single" w:sz="8" w:space="0" w:color="000000"/>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ab/>
              <w:t>88,652</w:t>
              <w:tab/>
            </w:r>
          </w:p>
        </w:tc>
      </w:tr>
      <w:tr>
        <w:tblPrEx>
          <w:tblW w:w="10260" w:type="dxa"/>
          <w:tblLayout w:type="fixed"/>
        </w:tblPrEx>
        <w:trPr>
          <w:trHeight w:hRule="exact" w:val="315"/>
        </w:trPr>
        <w:tc>
          <w:tcPr>
            <w:tcW w:w="409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485" w:type="dxa"/>
            <w:tcBorders>
              <w:top w:val="nil"/>
              <w:left w:val="nil"/>
              <w:bottom w:val="single" w:sz="8" w:space="0" w:color="000000"/>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315"/>
        </w:trPr>
        <w:tc>
          <w:tcPr>
            <w:tcW w:w="409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numPr>
                <w:ilvl w:val="0"/>
                <w:numId w:val="0"/>
              </w:numPr>
              <w:spacing w:before="3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Total</w:t>
            </w:r>
            <w:r>
              <w:rPr>
                <w:rFonts w:ascii="Times New Roman" w:eastAsia="Times New Roman" w:hAnsi="Times New Roman" w:cs="Times New Roman"/>
                <w:b w:val="0"/>
                <w:i w:val="0"/>
                <w:sz w:val="20"/>
                <w:vertAlign w:val="superscript"/>
              </w:rPr>
              <w:t>(2)</w:t>
            </w: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90,004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105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529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1066"/>
              </w:tabs>
              <w:spacing w:before="33" w:after="30" w:line="240" w:lineRule="auto"/>
              <w:jc w:val="right"/>
            </w:pPr>
            <w:r>
              <w:rPr>
                <w:rFonts w:ascii="Times New Roman" w:eastAsia="Times New Roman" w:hAnsi="Times New Roman" w:cs="Times New Roman"/>
                <w:b w:val="0"/>
                <w:i w:val="0"/>
                <w:color w:val="000000"/>
                <w:sz w:val="20"/>
                <w:u w:val="none"/>
              </w:rPr>
              <w:t>$</w:t>
              <w:tab/>
              <w:t>(97)</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90,436</w:t>
              <w:tab/>
            </w:r>
          </w:p>
        </w:tc>
      </w:tr>
    </w:tbl>
    <w:p>
      <w:pPr>
        <w:keepNext w:val="0"/>
        <w:keepLines/>
        <w:pageBreakBefore w:val="0"/>
        <w:widowControl w:val="0"/>
        <w:numPr>
          <w:ilvl w:val="0"/>
          <w:numId w:val="14"/>
        </w:numPr>
        <w:spacing w:before="0" w:after="0" w:line="288" w:lineRule="auto"/>
        <w:ind w:left="720" w:right="0" w:hanging="720"/>
        <w:jc w:val="both"/>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 xml:space="preserve">Unrealized gains and losses on available-for-sale securities are included as a component of comprehensive income (loss). As of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December 31, 2025</w:t>
      </w:r>
      <w:r>
        <w:rPr>
          <w:rFonts w:ascii="Times New Roman" w:eastAsia="Times New Roman" w:hAnsi="Times New Roman" w:cs="Times New Roman"/>
          <w:b w:val="0"/>
          <w:i w:val="0"/>
          <w:color w:val="000000"/>
          <w:sz w:val="16"/>
          <w:u w:val="none"/>
        </w:rPr>
        <w:t xml:space="preserve">, there were </w:t>
      </w:r>
      <w:r>
        <w:rPr>
          <w:rFonts w:ascii="Times New Roman" w:eastAsia="Times New Roman" w:hAnsi="Times New Roman" w:cs="Times New Roman"/>
          <w:b w:val="0"/>
          <w:i w:val="0"/>
          <w:color w:val="000000"/>
          <w:sz w:val="16"/>
          <w:u w:val="none"/>
        </w:rPr>
        <w:t>9</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127</w:t>
      </w:r>
      <w:r>
        <w:rPr>
          <w:rFonts w:ascii="Times New Roman" w:eastAsia="Times New Roman" w:hAnsi="Times New Roman" w:cs="Times New Roman"/>
          <w:b w:val="0"/>
          <w:i w:val="0"/>
          <w:color w:val="000000"/>
          <w:sz w:val="16"/>
          <w:u w:val="none"/>
        </w:rPr>
        <w:t xml:space="preserve"> securities, respectively, in an unrealized gain position and there were </w:t>
      </w:r>
      <w:r>
        <w:rPr>
          <w:rFonts w:ascii="Times New Roman" w:eastAsia="Times New Roman" w:hAnsi="Times New Roman" w:cs="Times New Roman"/>
          <w:b w:val="0"/>
          <w:i w:val="0"/>
          <w:color w:val="000000"/>
          <w:sz w:val="16"/>
          <w:u w:val="none"/>
        </w:rPr>
        <w:t>161</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27</w:t>
      </w:r>
      <w:r>
        <w:rPr>
          <w:rFonts w:ascii="Times New Roman" w:eastAsia="Times New Roman" w:hAnsi="Times New Roman" w:cs="Times New Roman"/>
          <w:b w:val="0"/>
          <w:i w:val="0"/>
          <w:color w:val="000000"/>
          <w:sz w:val="16"/>
          <w:u w:val="none"/>
        </w:rPr>
        <w:t xml:space="preserve"> securities in an unrealized loss position, respectively. As of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color w:val="000000"/>
          <w:sz w:val="16"/>
          <w:u w:val="none"/>
        </w:rPr>
        <w:t xml:space="preserve">, these unrealized </w:t>
      </w:r>
      <w:r>
        <w:rPr>
          <w:rFonts w:ascii="Times New Roman" w:eastAsia="Times New Roman" w:hAnsi="Times New Roman" w:cs="Times New Roman"/>
          <w:b w:val="0"/>
          <w:i w:val="0"/>
          <w:color w:val="000000"/>
          <w:sz w:val="16"/>
          <w:u w:val="none"/>
        </w:rPr>
        <w:t>losses</w:t>
      </w:r>
      <w:r>
        <w:rPr>
          <w:rFonts w:ascii="Times New Roman" w:eastAsia="Times New Roman" w:hAnsi="Times New Roman" w:cs="Times New Roman"/>
          <w:b w:val="0"/>
          <w:i w:val="0"/>
          <w:color w:val="000000"/>
          <w:sz w:val="16"/>
          <w:u w:val="none"/>
        </w:rPr>
        <w:t xml:space="preserve"> were less than </w:t>
      </w:r>
      <w:r>
        <w:rPr>
          <w:rFonts w:ascii="Times New Roman" w:eastAsia="Times New Roman" w:hAnsi="Times New Roman" w:cs="Times New Roman"/>
          <w:b w:val="0"/>
          <w:i w:val="0"/>
          <w:color w:val="000000"/>
          <w:sz w:val="16"/>
          <w:u w:val="none"/>
        </w:rPr>
        <w:t>$62</w:t>
      </w:r>
      <w:r>
        <w:rPr>
          <w:rFonts w:ascii="Times New Roman" w:eastAsia="Times New Roman" w:hAnsi="Times New Roman" w:cs="Times New Roman"/>
          <w:b w:val="0"/>
          <w:i w:val="0"/>
          <w:color w:val="000000"/>
          <w:sz w:val="16"/>
          <w:u w:val="none"/>
        </w:rPr>
        <w:t xml:space="preserve"> individually and </w:t>
      </w:r>
      <w:r>
        <w:rPr>
          <w:rFonts w:ascii="Times New Roman" w:eastAsia="Times New Roman" w:hAnsi="Times New Roman" w:cs="Times New Roman"/>
          <w:b w:val="0"/>
          <w:i w:val="0"/>
          <w:color w:val="000000"/>
          <w:sz w:val="16"/>
          <w:u w:val="none"/>
        </w:rPr>
        <w:t>$2,090</w:t>
      </w:r>
      <w:r>
        <w:rPr>
          <w:rFonts w:ascii="Times New Roman" w:eastAsia="Times New Roman" w:hAnsi="Times New Roman" w:cs="Times New Roman"/>
          <w:b w:val="0"/>
          <w:i w:val="0"/>
          <w:color w:val="000000"/>
          <w:sz w:val="16"/>
          <w:u w:val="none"/>
        </w:rPr>
        <w:t xml:space="preserve"> in the aggregate. As of </w:t>
      </w:r>
      <w:r>
        <w:rPr>
          <w:rFonts w:ascii="Times New Roman" w:eastAsia="Times New Roman" w:hAnsi="Times New Roman" w:cs="Times New Roman"/>
          <w:b w:val="0"/>
          <w:i w:val="0"/>
          <w:color w:val="000000"/>
          <w:sz w:val="16"/>
          <w:u w:val="none"/>
        </w:rPr>
        <w:t>December 31, 2025</w:t>
      </w:r>
      <w:r>
        <w:rPr>
          <w:rFonts w:ascii="Times New Roman" w:eastAsia="Times New Roman" w:hAnsi="Times New Roman" w:cs="Times New Roman"/>
          <w:b w:val="0"/>
          <w:i w:val="0"/>
          <w:color w:val="000000"/>
          <w:sz w:val="16"/>
          <w:u w:val="none"/>
        </w:rPr>
        <w:t xml:space="preserve">, these unrealized </w:t>
      </w:r>
      <w:r>
        <w:rPr>
          <w:rFonts w:ascii="Times New Roman" w:eastAsia="Times New Roman" w:hAnsi="Times New Roman" w:cs="Times New Roman"/>
          <w:b w:val="0"/>
          <w:i w:val="0"/>
          <w:color w:val="000000"/>
          <w:sz w:val="16"/>
          <w:u w:val="none"/>
        </w:rPr>
        <w:t>losses</w:t>
      </w:r>
      <w:r>
        <w:rPr>
          <w:rFonts w:ascii="Times New Roman" w:eastAsia="Times New Roman" w:hAnsi="Times New Roman" w:cs="Times New Roman"/>
          <w:b w:val="0"/>
          <w:i w:val="0"/>
          <w:color w:val="000000"/>
          <w:sz w:val="16"/>
          <w:u w:val="none"/>
        </w:rPr>
        <w:t xml:space="preserve"> were less than </w:t>
      </w:r>
      <w:r>
        <w:rPr>
          <w:rFonts w:ascii="Times New Roman" w:eastAsia="Times New Roman" w:hAnsi="Times New Roman" w:cs="Times New Roman"/>
          <w:b w:val="0"/>
          <w:i w:val="0"/>
          <w:color w:val="000000"/>
          <w:sz w:val="16"/>
          <w:u w:val="none"/>
        </w:rPr>
        <w:t>$13</w:t>
      </w:r>
      <w:r>
        <w:rPr>
          <w:rFonts w:ascii="Times New Roman" w:eastAsia="Times New Roman" w:hAnsi="Times New Roman" w:cs="Times New Roman"/>
          <w:b w:val="0"/>
          <w:i w:val="0"/>
          <w:color w:val="000000"/>
          <w:sz w:val="16"/>
          <w:u w:val="none"/>
        </w:rPr>
        <w:t xml:space="preserve"> individually and </w:t>
      </w:r>
      <w:r>
        <w:rPr>
          <w:rFonts w:ascii="Times New Roman" w:eastAsia="Times New Roman" w:hAnsi="Times New Roman" w:cs="Times New Roman"/>
          <w:b w:val="0"/>
          <w:i w:val="0"/>
          <w:color w:val="000000"/>
          <w:sz w:val="16"/>
          <w:u w:val="none"/>
        </w:rPr>
        <w:t>$94</w:t>
      </w:r>
      <w:r>
        <w:rPr>
          <w:rFonts w:ascii="Times New Roman" w:eastAsia="Times New Roman" w:hAnsi="Times New Roman" w:cs="Times New Roman"/>
          <w:b w:val="0"/>
          <w:i w:val="0"/>
          <w:color w:val="000000"/>
          <w:sz w:val="16"/>
          <w:u w:val="none"/>
        </w:rPr>
        <w:t xml:space="preserve"> in the aggregate. We invest in high quality securities with roughly </w:t>
      </w:r>
      <w:r>
        <w:rPr>
          <w:rFonts w:ascii="Times New Roman" w:eastAsia="Times New Roman" w:hAnsi="Times New Roman" w:cs="Times New Roman"/>
          <w:b w:val="0"/>
          <w:i w:val="0"/>
          <w:color w:val="000000"/>
          <w:sz w:val="16"/>
          <w:u w:val="none"/>
        </w:rPr>
        <w:t>70%</w:t>
      </w:r>
      <w:r>
        <w:rPr>
          <w:rFonts w:ascii="Times New Roman" w:eastAsia="Times New Roman" w:hAnsi="Times New Roman" w:cs="Times New Roman"/>
          <w:b w:val="0"/>
          <w:i w:val="0"/>
          <w:color w:val="000000"/>
          <w:sz w:val="16"/>
          <w:u w:val="none"/>
        </w:rPr>
        <w:t xml:space="preserve"> of our portfolio made up of A ratings and above with unrealized losses primarily attributable to macroeconomic factors rather than credit related. We have no material individual securities that have been in a continuous unrealized loss position greater than twelve months. We do not intend to sell these investments or expect to sell these investments before recovery of their amortized cost basis, which may be at maturity. We review our investments to identify and evaluate investments that indicate possible credit losses. Factors considered in determining whether a loss is a credit loss include the length of time and extent to which fair value has been less than the cost basis, the financial condition and near-term prospects of the investee, and our intent and ability to hold the investment for a period of time sufficient to allow for any anticipated recovery in market value.</w:t>
      </w:r>
    </w:p>
    <w:p>
      <w:pPr>
        <w:keepNext w:val="0"/>
        <w:keepLines/>
        <w:pageBreakBefore w:val="0"/>
        <w:widowControl w:val="0"/>
        <w:numPr>
          <w:ilvl w:val="0"/>
          <w:numId w:val="14"/>
        </w:numPr>
        <w:spacing w:before="0" w:after="0" w:line="288" w:lineRule="auto"/>
        <w:ind w:left="720" w:right="0" w:hanging="720"/>
        <w:jc w:val="both"/>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 xml:space="preserve">At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December 31, 2025</w:t>
      </w:r>
      <w:r>
        <w:rPr>
          <w:rFonts w:ascii="Times New Roman" w:eastAsia="Times New Roman" w:hAnsi="Times New Roman" w:cs="Times New Roman"/>
          <w:b w:val="0"/>
          <w:i w:val="0"/>
          <w:color w:val="000000"/>
          <w:sz w:val="16"/>
          <w:u w:val="none"/>
        </w:rPr>
        <w:t>, none of these securities were classified as cash and cash equivalents on the accompanying Condensed Consolidated Balance Sheets.</w:t>
      </w:r>
    </w:p>
    <w:p>
      <w:pPr>
        <w:keepNext w:val="0"/>
        <w:keepLines/>
        <w:pageBreakBefore w:val="0"/>
        <w:widowControl w:val="0"/>
        <w:numPr>
          <w:ilvl w:val="0"/>
          <w:numId w:val="0"/>
        </w:numPr>
        <w:spacing w:before="0" w:after="0" w:line="288" w:lineRule="auto"/>
        <w:ind w:left="0" w:right="0" w:hanging="36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Funds held for clients represent assets that we have classified for use solely for the purposes of satisfying the obligations to remit funds relating to our payroll and payroll tax filing services, which are classified as client funds obligations on our Condensed Consolidated Balance Sheets.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Funds held for clients have been invested in the following categories for the periods presented below (in thousands):</w:t>
      </w:r>
    </w:p>
    <w:tbl>
      <w:tblPr>
        <w:tblStyle w:val="TableNormal0"/>
        <w:tblW w:w="9990" w:type="dxa"/>
        <w:jc w:val="center"/>
        <w:tblLayout w:type="fixed"/>
      </w:tblPr>
      <w:tblGrid>
        <w:gridCol w:w="6195"/>
        <w:gridCol w:w="1860"/>
        <w:gridCol w:w="75"/>
        <w:gridCol w:w="1860"/>
      </w:tblGrid>
      <w:tr>
        <w:tblPrEx>
          <w:tblW w:w="9990" w:type="dxa"/>
          <w:tblLayout w:type="fixed"/>
        </w:tblPrEx>
        <w:trPr>
          <w:trHeight w:hRule="exact" w:val="285"/>
        </w:trPr>
        <w:tc>
          <w:tcPr>
            <w:tcW w:w="619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September 30, 2026</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December 31, 2025</w:t>
            </w:r>
          </w:p>
        </w:tc>
      </w:tr>
      <w:tr>
        <w:tblPrEx>
          <w:tblW w:w="9990" w:type="dxa"/>
          <w:tblLayout w:type="fixed"/>
        </w:tblPrEx>
        <w:trPr>
          <w:trHeight w:hRule="exact" w:val="285"/>
        </w:trPr>
        <w:tc>
          <w:tcPr>
            <w:tcW w:w="61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18"/>
                <w:u w:val="none"/>
              </w:rPr>
              <w:t>Restricted cash and cash equivalents held to satisfy client funds obligations</w:t>
            </w: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101,742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139,459</w:t>
              <w:tab/>
            </w:r>
          </w:p>
        </w:tc>
      </w:tr>
      <w:tr>
        <w:tblPrEx>
          <w:tblW w:w="9990" w:type="dxa"/>
          <w:tblLayout w:type="fixed"/>
        </w:tblPrEx>
        <w:trPr>
          <w:trHeight w:hRule="exact" w:val="285"/>
        </w:trPr>
        <w:tc>
          <w:tcPr>
            <w:tcW w:w="61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18"/>
                <w:u w:val="none"/>
              </w:rPr>
              <w:t>Restricted short-term marketable securities held to satisfy client funds obligations</w:t>
            </w:r>
          </w:p>
        </w:tc>
        <w:tc>
          <w:tcPr>
            <w:tcW w:w="18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21,247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12,781</w:t>
              <w:tab/>
            </w:r>
          </w:p>
        </w:tc>
      </w:tr>
      <w:tr>
        <w:tblPrEx>
          <w:tblW w:w="9990" w:type="dxa"/>
          <w:tblLayout w:type="fixed"/>
        </w:tblPrEx>
        <w:trPr>
          <w:trHeight w:hRule="exact" w:val="285"/>
        </w:trPr>
        <w:tc>
          <w:tcPr>
            <w:tcW w:w="61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18"/>
                <w:u w:val="none"/>
              </w:rPr>
              <w:t>Restricted long-term marketable securities held to satisfy client funds obligations</w:t>
            </w:r>
          </w:p>
        </w:tc>
        <w:tc>
          <w:tcPr>
            <w:tcW w:w="186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71,757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75,871</w:t>
              <w:tab/>
            </w:r>
          </w:p>
        </w:tc>
      </w:tr>
      <w:tr>
        <w:tblPrEx>
          <w:tblW w:w="9990" w:type="dxa"/>
          <w:tblLayout w:type="fixed"/>
        </w:tblPrEx>
        <w:trPr>
          <w:trHeight w:hRule="exact" w:val="285"/>
        </w:trPr>
        <w:tc>
          <w:tcPr>
            <w:tcW w:w="619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18"/>
                <w:u w:val="none"/>
              </w:rPr>
              <w:t>Total funds held for clients</w:t>
            </w:r>
          </w:p>
        </w:tc>
        <w:tc>
          <w:tcPr>
            <w:tcW w:w="186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194,746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86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228,111</w:t>
              <w:tab/>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single"/>
        </w:rPr>
      </w:pPr>
      <w:r>
        <w:rPr>
          <w:rFonts w:ascii="Times New Roman" w:eastAsia="Times New Roman" w:hAnsi="Times New Roman" w:cs="Times New Roman"/>
          <w:b w:val="0"/>
          <w:i w:val="0"/>
          <w:color w:val="000000"/>
          <w:sz w:val="20"/>
          <w:u w:val="none"/>
        </w:rPr>
        <w:t xml:space="preserve">Expected maturities of available-for-sale securities as of </w:t>
      </w:r>
      <w:r>
        <w:rPr>
          <w:rFonts w:ascii="Times New Roman" w:eastAsia="Times New Roman" w:hAnsi="Times New Roman" w:cs="Times New Roman"/>
          <w:b w:val="0"/>
          <w:i w:val="0"/>
          <w:color w:val="000000"/>
          <w:sz w:val="18"/>
          <w:u w:val="none"/>
        </w:rPr>
        <w:t>September 30, 2026</w:t>
      </w:r>
      <w:r>
        <w:rPr>
          <w:rFonts w:ascii="Times New Roman" w:eastAsia="Times New Roman" w:hAnsi="Times New Roman" w:cs="Times New Roman"/>
          <w:b w:val="0"/>
          <w:i w:val="0"/>
          <w:color w:val="000000"/>
          <w:sz w:val="18"/>
          <w:u w:val="none"/>
        </w:rPr>
        <w:t>, are as</w:t>
      </w:r>
      <w:r>
        <w:rPr>
          <w:rFonts w:ascii="Times New Roman" w:eastAsia="Times New Roman" w:hAnsi="Times New Roman" w:cs="Times New Roman"/>
          <w:b w:val="0"/>
          <w:i w:val="0"/>
          <w:color w:val="000000"/>
          <w:sz w:val="20"/>
          <w:u w:val="none"/>
        </w:rPr>
        <w:t xml:space="preserve"> follows (in thousands):</w:t>
      </w:r>
    </w:p>
    <w:tbl>
      <w:tblPr>
        <w:tblStyle w:val="TableNormal0"/>
        <w:tblW w:w="6270" w:type="dxa"/>
        <w:jc w:val="center"/>
        <w:tblLayout w:type="fixed"/>
      </w:tblPr>
      <w:tblGrid>
        <w:gridCol w:w="4785"/>
        <w:gridCol w:w="1485"/>
      </w:tblGrid>
      <w:tr>
        <w:tblPrEx>
          <w:tblW w:w="627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One year or less</w:t>
            </w: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21,247</w:t>
              <w:tab/>
            </w:r>
          </w:p>
        </w:tc>
      </w:tr>
      <w:tr>
        <w:tblPrEx>
          <w:tblW w:w="627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After one year through five years</w:t>
            </w:r>
          </w:p>
        </w:tc>
        <w:tc>
          <w:tcPr>
            <w:tcW w:w="148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71,757</w:t>
              <w:tab/>
            </w:r>
          </w:p>
        </w:tc>
      </w:tr>
      <w:tr>
        <w:tblPrEx>
          <w:tblW w:w="627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48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93,004</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3"/>
        <w:rPr>
          <w:rFonts w:ascii="Times New Roman" w:eastAsia="Times New Roman" w:hAnsi="Times New Roman" w:cs="Times New Roman"/>
          <w:b/>
          <w:i w:val="0"/>
          <w:sz w:val="20"/>
        </w:rPr>
      </w:pPr>
      <w:bookmarkStart w:id="13" w:name="Section14"/>
      <w:bookmarkEnd w:id="13"/>
      <w:r>
        <w:rPr>
          <w:rFonts w:ascii="Times New Roman" w:eastAsia="Times New Roman" w:hAnsi="Times New Roman" w:cs="Times New Roman"/>
          <w:b/>
          <w:i w:val="0"/>
          <w:sz w:val="20"/>
        </w:rPr>
        <w:t>NOTE 5</w:t>
      </w:r>
      <w:r>
        <w:rPr>
          <w:rFonts w:ascii="Times New Roman" w:eastAsia="Times New Roman" w:hAnsi="Times New Roman" w:cs="Times New Roman"/>
          <w:b w:val="0"/>
          <w:i w:val="0"/>
          <w:sz w:val="20"/>
        </w:rPr>
        <w:t xml:space="preserve"> - </w:t>
      </w:r>
      <w:r>
        <w:rPr>
          <w:rFonts w:ascii="Times New Roman" w:eastAsia="Times New Roman" w:hAnsi="Times New Roman" w:cs="Times New Roman"/>
          <w:b/>
          <w:i w:val="0"/>
          <w:color w:val="000000"/>
          <w:sz w:val="20"/>
          <w:u w:val="none"/>
        </w:rPr>
        <w:t>GOODWILL AND OTHER INTANGIBLE ASSETS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tbl>
      <w:tblPr>
        <w:tblStyle w:val="TableNormal0"/>
        <w:tblW w:w="10155" w:type="dxa"/>
        <w:jc w:val="center"/>
        <w:tblLayout w:type="fixed"/>
      </w:tblPr>
      <w:tblGrid>
        <w:gridCol w:w="4425"/>
        <w:gridCol w:w="1860"/>
        <w:gridCol w:w="75"/>
        <w:gridCol w:w="1860"/>
        <w:gridCol w:w="75"/>
        <w:gridCol w:w="1860"/>
      </w:tblGrid>
      <w:tr>
        <w:tblPrEx>
          <w:tblW w:w="10155" w:type="dxa"/>
          <w:tblLayout w:type="fixed"/>
        </w:tblPrEx>
        <w:trPr>
          <w:trHeight w:hRule="exact" w:val="285"/>
        </w:trPr>
        <w:tc>
          <w:tcPr>
            <w:tcW w:w="442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December 31, 2025</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Acquisitions</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September 30, 2026</w:t>
            </w:r>
          </w:p>
        </w:tc>
      </w:tr>
      <w:tr>
        <w:tblPrEx>
          <w:tblW w:w="10155" w:type="dxa"/>
          <w:tblLayout w:type="fixed"/>
        </w:tblPrEx>
        <w:trPr>
          <w:trHeight w:hRule="exact" w:val="315"/>
        </w:trPr>
        <w:tc>
          <w:tcPr>
            <w:tcW w:w="442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Goodwill</w:t>
            </w: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115,759</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52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115,759</w:t>
              <w:tab/>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We believe significant synergies are expected to arise from our strategic acquisitions and their assembled work forces. This factor contributed to a purchase price that was in excess of the fair value of the net assets acquired and, as a result, we recorded goodwill for each acquisition. A portion of acquired goodwill will be amortizable for tax purposes.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there has been </w:t>
      </w:r>
      <w:r>
        <w:rPr>
          <w:rFonts w:ascii="Times New Roman" w:eastAsia="Times New Roman" w:hAnsi="Times New Roman" w:cs="Times New Roman"/>
          <w:b w:val="0"/>
          <w:i w:val="0"/>
          <w:color w:val="000000"/>
          <w:sz w:val="20"/>
          <w:u w:val="none"/>
        </w:rPr>
        <w:t>no</w:t>
      </w:r>
      <w:r>
        <w:rPr>
          <w:rFonts w:ascii="Times New Roman" w:eastAsia="Times New Roman" w:hAnsi="Times New Roman" w:cs="Times New Roman"/>
          <w:b w:val="0"/>
          <w:i w:val="0"/>
          <w:color w:val="000000"/>
          <w:sz w:val="20"/>
          <w:u w:val="none"/>
        </w:rPr>
        <w:t xml:space="preserve"> impairment of goodwill based on the qualitative assessments we have performed.</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tbl>
      <w:tblPr>
        <w:tblStyle w:val="TableNormal0"/>
        <w:tblW w:w="10215" w:type="dxa"/>
        <w:jc w:val="center"/>
        <w:tblLayout w:type="fixed"/>
      </w:tblPr>
      <w:tblGrid>
        <w:gridCol w:w="4425"/>
        <w:gridCol w:w="1860"/>
        <w:gridCol w:w="105"/>
        <w:gridCol w:w="1860"/>
        <w:gridCol w:w="105"/>
        <w:gridCol w:w="1860"/>
      </w:tblGrid>
      <w:tr>
        <w:tblPrEx>
          <w:tblW w:w="10215" w:type="dxa"/>
          <w:tblLayout w:type="fixed"/>
        </w:tblPrEx>
        <w:trPr>
          <w:trHeight w:hRule="exact" w:val="285"/>
        </w:trPr>
        <w:tc>
          <w:tcPr>
            <w:tcW w:w="442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Gross Intangible Assets</w:t>
            </w: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December 31, 2025</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Acquisitions</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September 30, 2026</w:t>
            </w:r>
          </w:p>
        </w:tc>
      </w:tr>
      <w:tr>
        <w:tblPrEx>
          <w:tblW w:w="10215" w:type="dxa"/>
          <w:tblLayout w:type="fixed"/>
        </w:tblPrEx>
        <w:trPr>
          <w:trHeight w:hRule="exact" w:val="315"/>
        </w:trPr>
        <w:tc>
          <w:tcPr>
            <w:tcW w:w="442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Customer relationships</w:t>
            </w: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182,024</w:t>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2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6,325</w:t>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86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188,349</w:t>
              <w:tab/>
            </w:r>
          </w:p>
        </w:tc>
      </w:tr>
      <w:tr>
        <w:tblPrEx>
          <w:tblW w:w="10215" w:type="dxa"/>
          <w:tblLayout w:type="fixed"/>
        </w:tblPrEx>
        <w:trPr>
          <w:trHeight w:hRule="exact" w:val="315"/>
        </w:trPr>
        <w:tc>
          <w:tcPr>
            <w:tcW w:w="442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Developed technology</w:t>
            </w:r>
          </w:p>
        </w:tc>
        <w:tc>
          <w:tcPr>
            <w:tcW w:w="1860" w:type="dxa"/>
            <w:tcBorders>
              <w:top w:val="nil"/>
              <w:left w:val="nil"/>
              <w:bottom w:val="nil"/>
              <w:right w:val="nil"/>
            </w:tcBorders>
            <w:shd w:val="clear" w:color="auto" w:fill="FFFFFF"/>
            <w:tcMar>
              <w:top w:w="0" w:type="dxa"/>
              <w:left w:w="0" w:type="dxa"/>
              <w:bottom w:w="0" w:type="dxa"/>
              <w:right w:w="53" w:type="dxa"/>
            </w:tcMar>
            <w:vAlign w:val="bottom"/>
          </w:tcPr>
          <w:p>
            <w:pPr>
              <w:keepNext/>
              <w:pageBreakBefore w:val="0"/>
              <w:spacing w:before="53" w:after="30" w:line="240" w:lineRule="auto"/>
              <w:jc w:val="right"/>
            </w:pPr>
            <w:r>
              <w:rPr>
                <w:rFonts w:ascii="Times New Roman" w:eastAsia="Times New Roman" w:hAnsi="Times New Roman" w:cs="Times New Roman"/>
                <w:b w:val="0"/>
                <w:i w:val="0"/>
                <w:color w:val="000000"/>
                <w:sz w:val="20"/>
                <w:u w:val="none"/>
              </w:rPr>
              <w:t>19,501</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527"/>
                <w:tab w:val="left" w:pos="1792"/>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nil"/>
              <w:right w:val="nil"/>
            </w:tcBorders>
            <w:shd w:val="clear" w:color="auto" w:fill="FFFFFF"/>
            <w:tcMar>
              <w:top w:w="0" w:type="dxa"/>
              <w:left w:w="0" w:type="dxa"/>
              <w:bottom w:w="0" w:type="dxa"/>
              <w:right w:w="53" w:type="dxa"/>
            </w:tcMar>
            <w:vAlign w:val="bottom"/>
          </w:tcPr>
          <w:p>
            <w:pPr>
              <w:keepNext/>
              <w:pageBreakBefore w:val="0"/>
              <w:spacing w:before="53" w:after="30" w:line="240" w:lineRule="auto"/>
              <w:jc w:val="right"/>
            </w:pPr>
            <w:r>
              <w:rPr>
                <w:rFonts w:ascii="Times New Roman" w:eastAsia="Times New Roman" w:hAnsi="Times New Roman" w:cs="Times New Roman"/>
                <w:b w:val="0"/>
                <w:i w:val="0"/>
                <w:color w:val="000000"/>
                <w:sz w:val="20"/>
                <w:u w:val="none"/>
              </w:rPr>
              <w:t>19,501</w:t>
            </w:r>
          </w:p>
        </w:tc>
      </w:tr>
      <w:tr>
        <w:tblPrEx>
          <w:tblW w:w="10215" w:type="dxa"/>
          <w:tblLayout w:type="fixed"/>
        </w:tblPrEx>
        <w:trPr>
          <w:trHeight w:hRule="exact" w:val="315"/>
        </w:trPr>
        <w:tc>
          <w:tcPr>
            <w:tcW w:w="442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Trade names</w:t>
            </w:r>
          </w:p>
        </w:tc>
        <w:tc>
          <w:tcPr>
            <w:tcW w:w="1860" w:type="dxa"/>
            <w:tcBorders>
              <w:top w:val="nil"/>
              <w:left w:val="nil"/>
              <w:bottom w:val="nil"/>
              <w:right w:val="nil"/>
            </w:tcBorders>
            <w:shd w:val="clear" w:color="auto" w:fill="CCEEFF"/>
            <w:tcMar>
              <w:top w:w="0" w:type="dxa"/>
              <w:left w:w="0" w:type="dxa"/>
              <w:bottom w:w="0" w:type="dxa"/>
              <w:right w:w="53" w:type="dxa"/>
            </w:tcMar>
            <w:vAlign w:val="bottom"/>
          </w:tcPr>
          <w:p>
            <w:pPr>
              <w:keepNext/>
              <w:pageBreakBefore w:val="0"/>
              <w:spacing w:before="53" w:after="30" w:line="240" w:lineRule="auto"/>
              <w:jc w:val="right"/>
            </w:pPr>
            <w:r>
              <w:rPr>
                <w:rFonts w:ascii="Times New Roman" w:eastAsia="Times New Roman" w:hAnsi="Times New Roman" w:cs="Times New Roman"/>
                <w:b w:val="0"/>
                <w:i w:val="0"/>
                <w:color w:val="000000"/>
                <w:sz w:val="20"/>
                <w:u w:val="none"/>
              </w:rPr>
              <w:t>880</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527"/>
                <w:tab w:val="left" w:pos="1792"/>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nil"/>
              <w:right w:val="nil"/>
            </w:tcBorders>
            <w:shd w:val="clear" w:color="auto" w:fill="CCEEFF"/>
            <w:tcMar>
              <w:top w:w="0" w:type="dxa"/>
              <w:left w:w="0" w:type="dxa"/>
              <w:bottom w:w="0" w:type="dxa"/>
              <w:right w:w="53" w:type="dxa"/>
            </w:tcMar>
            <w:vAlign w:val="bottom"/>
          </w:tcPr>
          <w:p>
            <w:pPr>
              <w:keepNext/>
              <w:pageBreakBefore w:val="0"/>
              <w:spacing w:before="53" w:after="30" w:line="240" w:lineRule="auto"/>
              <w:jc w:val="right"/>
            </w:pPr>
            <w:r>
              <w:rPr>
                <w:rFonts w:ascii="Times New Roman" w:eastAsia="Times New Roman" w:hAnsi="Times New Roman" w:cs="Times New Roman"/>
                <w:b w:val="0"/>
                <w:i w:val="0"/>
                <w:color w:val="000000"/>
                <w:sz w:val="20"/>
                <w:u w:val="none"/>
              </w:rPr>
              <w:t>880</w:t>
            </w:r>
          </w:p>
        </w:tc>
      </w:tr>
      <w:tr>
        <w:tblPrEx>
          <w:tblW w:w="10215" w:type="dxa"/>
          <w:tblLayout w:type="fixed"/>
        </w:tblPrEx>
        <w:trPr>
          <w:trHeight w:hRule="exact" w:val="315"/>
        </w:trPr>
        <w:tc>
          <w:tcPr>
            <w:tcW w:w="442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Non-compete agreements</w:t>
            </w:r>
          </w:p>
        </w:tc>
        <w:tc>
          <w:tcPr>
            <w:tcW w:w="1860" w:type="dxa"/>
            <w:tcBorders>
              <w:top w:val="nil"/>
              <w:left w:val="nil"/>
              <w:bottom w:val="single" w:sz="8" w:space="0" w:color="000000"/>
              <w:right w:val="nil"/>
            </w:tcBorders>
            <w:shd w:val="clear" w:color="auto" w:fill="FFFFFF"/>
            <w:tcMar>
              <w:top w:w="0" w:type="dxa"/>
              <w:left w:w="0" w:type="dxa"/>
              <w:bottom w:w="0" w:type="dxa"/>
              <w:right w:w="53" w:type="dxa"/>
            </w:tcMar>
            <w:vAlign w:val="bottom"/>
          </w:tcPr>
          <w:p>
            <w:pPr>
              <w:keepNext/>
              <w:pageBreakBefore w:val="0"/>
              <w:spacing w:before="53" w:after="30" w:line="240" w:lineRule="auto"/>
              <w:jc w:val="right"/>
            </w:pPr>
            <w:r>
              <w:rPr>
                <w:rFonts w:ascii="Times New Roman" w:eastAsia="Times New Roman" w:hAnsi="Times New Roman" w:cs="Times New Roman"/>
                <w:b w:val="0"/>
                <w:i w:val="0"/>
                <w:color w:val="000000"/>
                <w:sz w:val="20"/>
                <w:u w:val="none"/>
              </w:rPr>
              <w:t>1,032</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527"/>
                <w:tab w:val="left" w:pos="1792"/>
              </w:tabs>
              <w:spacing w:before="53" w:after="30" w:line="240" w:lineRule="auto"/>
              <w:jc w:val="right"/>
            </w:pPr>
            <w:r>
              <w:rPr>
                <w:rFonts w:ascii="Times New Roman" w:eastAsia="Times New Roman" w:hAnsi="Times New Roman" w:cs="Times New Roman"/>
                <w:b w:val="0"/>
                <w:i w:val="0"/>
                <w:color w:val="000000"/>
                <w:sz w:val="20"/>
                <w:u w:val="none"/>
              </w:rPr>
              <w:tab/>
              <w:t>—</w:t>
              <w:tab/>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860" w:type="dxa"/>
            <w:tcBorders>
              <w:top w:val="nil"/>
              <w:left w:val="nil"/>
              <w:bottom w:val="single" w:sz="8" w:space="0" w:color="000000"/>
              <w:right w:val="nil"/>
            </w:tcBorders>
            <w:shd w:val="clear" w:color="auto" w:fill="FFFFFF"/>
            <w:tcMar>
              <w:top w:w="0" w:type="dxa"/>
              <w:left w:w="0" w:type="dxa"/>
              <w:bottom w:w="0" w:type="dxa"/>
              <w:right w:w="53" w:type="dxa"/>
            </w:tcMar>
            <w:vAlign w:val="bottom"/>
          </w:tcPr>
          <w:p>
            <w:pPr>
              <w:keepNext/>
              <w:pageBreakBefore w:val="0"/>
              <w:spacing w:before="53" w:after="30" w:line="240" w:lineRule="auto"/>
              <w:jc w:val="right"/>
            </w:pPr>
            <w:r>
              <w:rPr>
                <w:rFonts w:ascii="Times New Roman" w:eastAsia="Times New Roman" w:hAnsi="Times New Roman" w:cs="Times New Roman"/>
                <w:b w:val="0"/>
                <w:i w:val="0"/>
                <w:color w:val="000000"/>
                <w:sz w:val="20"/>
                <w:u w:val="none"/>
              </w:rPr>
              <w:t>1,032</w:t>
            </w:r>
          </w:p>
        </w:tc>
      </w:tr>
      <w:tr>
        <w:tblPrEx>
          <w:tblW w:w="10215" w:type="dxa"/>
          <w:tblLayout w:type="fixed"/>
        </w:tblPrEx>
        <w:trPr>
          <w:trHeight w:hRule="exact" w:val="315"/>
        </w:trPr>
        <w:tc>
          <w:tcPr>
            <w:tcW w:w="442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86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203,437</w:t>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86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2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6,325</w:t>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860"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0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209,762</w:t>
              <w:tab/>
            </w:r>
          </w:p>
        </w:tc>
      </w:tr>
    </w:tbl>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gross carrying amount and accumulated amortization of our intangible assets are as follows for the periods presented below (in thousands, except weighted average periods):</w:t>
      </w:r>
    </w:p>
    <w:tbl>
      <w:tblPr>
        <w:tblStyle w:val="TableNormal0"/>
        <w:tblW w:w="10245" w:type="dxa"/>
        <w:jc w:val="center"/>
        <w:tblLayout w:type="fixed"/>
      </w:tblPr>
      <w:tblGrid>
        <w:gridCol w:w="3165"/>
        <w:gridCol w:w="75"/>
        <w:gridCol w:w="1695"/>
        <w:gridCol w:w="75"/>
        <w:gridCol w:w="1695"/>
        <w:gridCol w:w="75"/>
        <w:gridCol w:w="1695"/>
        <w:gridCol w:w="75"/>
        <w:gridCol w:w="1695"/>
      </w:tblGrid>
      <w:tr>
        <w:tblPrEx>
          <w:tblW w:w="10245" w:type="dxa"/>
          <w:tblLayout w:type="fixed"/>
        </w:tblPrEx>
        <w:trPr>
          <w:trHeight w:hRule="exact" w:val="885"/>
        </w:trPr>
        <w:tc>
          <w:tcPr>
            <w:tcW w:w="3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line="240" w:lineRule="auto"/>
              <w:jc w:val="center"/>
            </w:pPr>
            <w:r>
              <w:rPr>
                <w:rFonts w:ascii="Times New Roman" w:eastAsia="Times New Roman" w:hAnsi="Times New Roman" w:cs="Times New Roman"/>
                <w:b/>
                <w:i w:val="0"/>
                <w:color w:val="000000"/>
                <w:sz w:val="20"/>
                <w:u w:val="none"/>
              </w:rPr>
              <w:t>Weighted Average</w:t>
            </w:r>
          </w:p>
          <w:p>
            <w:pPr>
              <w:spacing w:line="240" w:lineRule="auto"/>
              <w:jc w:val="center"/>
            </w:pPr>
            <w:r>
              <w:rPr>
                <w:rFonts w:ascii="Times New Roman" w:eastAsia="Times New Roman" w:hAnsi="Times New Roman" w:cs="Times New Roman"/>
                <w:b/>
                <w:i w:val="0"/>
                <w:color w:val="000000"/>
                <w:sz w:val="20"/>
                <w:u w:val="none"/>
              </w:rPr>
              <w:t>Amortization</w:t>
            </w:r>
          </w:p>
          <w:p>
            <w:pPr>
              <w:spacing w:line="240" w:lineRule="auto"/>
              <w:jc w:val="center"/>
            </w:pPr>
            <w:r>
              <w:rPr>
                <w:rFonts w:ascii="Times New Roman" w:eastAsia="Times New Roman" w:hAnsi="Times New Roman" w:cs="Times New Roman"/>
                <w:b/>
                <w:i w:val="0"/>
                <w:color w:val="000000"/>
                <w:sz w:val="20"/>
                <w:u w:val="none"/>
              </w:rPr>
              <w:t xml:space="preserve">Period </w:t>
            </w:r>
          </w:p>
          <w:p>
            <w:pPr>
              <w:spacing w:after="30" w:line="240" w:lineRule="auto"/>
              <w:jc w:val="center"/>
            </w:pPr>
            <w:r>
              <w:rPr>
                <w:rFonts w:ascii="Times New Roman" w:eastAsia="Times New Roman" w:hAnsi="Times New Roman" w:cs="Times New Roman"/>
                <w:b/>
                <w:i w:val="0"/>
                <w:color w:val="000000"/>
                <w:sz w:val="20"/>
                <w:u w:val="none"/>
              </w:rPr>
              <w:t>(in Years)</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Gross Intangible Assets</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line="240" w:lineRule="auto"/>
              <w:jc w:val="center"/>
            </w:pPr>
            <w:r>
              <w:rPr>
                <w:rFonts w:ascii="Times New Roman" w:eastAsia="Times New Roman" w:hAnsi="Times New Roman" w:cs="Times New Roman"/>
                <w:b/>
                <w:i w:val="0"/>
                <w:color w:val="000000"/>
                <w:sz w:val="20"/>
                <w:u w:val="none"/>
              </w:rPr>
              <w:t>Accumulated</w:t>
            </w:r>
          </w:p>
          <w:p>
            <w:pPr>
              <w:spacing w:after="30" w:line="240" w:lineRule="auto"/>
              <w:jc w:val="center"/>
            </w:pPr>
            <w:r>
              <w:rPr>
                <w:rFonts w:ascii="Times New Roman" w:eastAsia="Times New Roman" w:hAnsi="Times New Roman" w:cs="Times New Roman"/>
                <w:b/>
                <w:i w:val="0"/>
                <w:color w:val="000000"/>
                <w:sz w:val="20"/>
                <w:u w:val="none"/>
              </w:rPr>
              <w:t>Amortization</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Net Intangible Assets</w:t>
            </w: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i w:val="0"/>
                <w:color w:val="000000"/>
                <w:sz w:val="20"/>
                <w:u w:val="none"/>
              </w:rPr>
              <w:t>September 30, 2026</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316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Customer relationships</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8.4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12"/>
                <w:tab w:val="left" w:pos="1627"/>
              </w:tabs>
              <w:spacing w:before="53" w:after="30" w:line="240" w:lineRule="auto"/>
              <w:jc w:val="right"/>
            </w:pPr>
            <w:r>
              <w:rPr>
                <w:rFonts w:ascii="Times New Roman" w:eastAsia="Times New Roman" w:hAnsi="Times New Roman" w:cs="Times New Roman"/>
                <w:b w:val="0"/>
                <w:i w:val="0"/>
                <w:color w:val="000000"/>
                <w:sz w:val="20"/>
                <w:u w:val="none"/>
              </w:rPr>
              <w:t>$</w:t>
              <w:tab/>
              <w:t>188,349</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26"/>
              </w:tabs>
              <w:spacing w:before="53" w:after="30" w:line="240" w:lineRule="auto"/>
              <w:jc w:val="right"/>
            </w:pPr>
            <w:r>
              <w:rPr>
                <w:rFonts w:ascii="Times New Roman" w:eastAsia="Times New Roman" w:hAnsi="Times New Roman" w:cs="Times New Roman"/>
                <w:b w:val="0"/>
                <w:i w:val="0"/>
                <w:color w:val="000000"/>
                <w:sz w:val="20"/>
                <w:u w:val="none"/>
              </w:rPr>
              <w:t>$</w:t>
              <w:tab/>
              <w:t>(115,182)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12"/>
                <w:tab w:val="left" w:pos="1627"/>
              </w:tabs>
              <w:spacing w:before="53" w:after="30" w:line="240" w:lineRule="auto"/>
              <w:jc w:val="right"/>
            </w:pPr>
            <w:r>
              <w:rPr>
                <w:rFonts w:ascii="Times New Roman" w:eastAsia="Times New Roman" w:hAnsi="Times New Roman" w:cs="Times New Roman"/>
                <w:b w:val="0"/>
                <w:i w:val="0"/>
                <w:color w:val="000000"/>
                <w:sz w:val="20"/>
                <w:u w:val="none"/>
              </w:rPr>
              <w:t>$</w:t>
              <w:tab/>
              <w:t>73,167</w:t>
              <w:tab/>
            </w: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Developed technology</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6.6</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12"/>
                <w:tab w:val="left" w:pos="1627"/>
              </w:tabs>
              <w:spacing w:before="53" w:after="30" w:line="240" w:lineRule="auto"/>
              <w:jc w:val="right"/>
            </w:pPr>
            <w:r>
              <w:rPr>
                <w:rFonts w:ascii="Times New Roman" w:eastAsia="Times New Roman" w:hAnsi="Times New Roman" w:cs="Times New Roman"/>
                <w:b w:val="0"/>
                <w:i w:val="0"/>
                <w:color w:val="000000"/>
                <w:sz w:val="20"/>
                <w:u w:val="none"/>
              </w:rPr>
              <w:tab/>
              <w:t>19,501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26"/>
              </w:tabs>
              <w:spacing w:before="53" w:after="30" w:line="240" w:lineRule="auto"/>
              <w:jc w:val="right"/>
            </w:pPr>
            <w:r>
              <w:rPr>
                <w:rFonts w:ascii="Times New Roman" w:eastAsia="Times New Roman" w:hAnsi="Times New Roman" w:cs="Times New Roman"/>
                <w:b w:val="0"/>
                <w:i w:val="0"/>
                <w:color w:val="000000"/>
                <w:sz w:val="20"/>
                <w:u w:val="none"/>
              </w:rPr>
              <w:tab/>
              <w:t>(13,439)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12"/>
                <w:tab w:val="left" w:pos="1627"/>
              </w:tabs>
              <w:spacing w:before="53" w:after="30" w:line="240" w:lineRule="auto"/>
              <w:jc w:val="right"/>
            </w:pPr>
            <w:r>
              <w:rPr>
                <w:rFonts w:ascii="Times New Roman" w:eastAsia="Times New Roman" w:hAnsi="Times New Roman" w:cs="Times New Roman"/>
                <w:b w:val="0"/>
                <w:i w:val="0"/>
                <w:color w:val="000000"/>
                <w:sz w:val="20"/>
                <w:u w:val="none"/>
              </w:rPr>
              <w:tab/>
              <w:t>6,062</w:t>
              <w:tab/>
            </w:r>
          </w:p>
        </w:tc>
      </w:tr>
      <w:tr>
        <w:tblPrEx>
          <w:tblW w:w="10245" w:type="dxa"/>
          <w:tblLayout w:type="fixed"/>
        </w:tblPrEx>
        <w:trPr>
          <w:trHeight w:hRule="exact" w:val="285"/>
        </w:trPr>
        <w:tc>
          <w:tcPr>
            <w:tcW w:w="316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Trade names</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4.3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262"/>
                <w:tab w:val="left" w:pos="1627"/>
              </w:tabs>
              <w:spacing w:before="53" w:after="30" w:line="240" w:lineRule="auto"/>
              <w:jc w:val="right"/>
            </w:pPr>
            <w:r>
              <w:rPr>
                <w:rFonts w:ascii="Times New Roman" w:eastAsia="Times New Roman" w:hAnsi="Times New Roman" w:cs="Times New Roman"/>
                <w:b w:val="0"/>
                <w:i w:val="0"/>
                <w:color w:val="000000"/>
                <w:sz w:val="20"/>
                <w:u w:val="none"/>
              </w:rPr>
              <w:tab/>
              <w:t>880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76"/>
              </w:tabs>
              <w:spacing w:before="53" w:after="30" w:line="240" w:lineRule="auto"/>
              <w:jc w:val="right"/>
            </w:pPr>
            <w:r>
              <w:rPr>
                <w:rFonts w:ascii="Times New Roman" w:eastAsia="Times New Roman" w:hAnsi="Times New Roman" w:cs="Times New Roman"/>
                <w:b w:val="0"/>
                <w:i w:val="0"/>
                <w:color w:val="000000"/>
                <w:sz w:val="20"/>
                <w:u w:val="none"/>
              </w:rPr>
              <w:tab/>
              <w:t>(880)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62"/>
                <w:tab w:val="left" w:pos="1627"/>
              </w:tabs>
              <w:spacing w:before="53" w:after="30" w:line="240" w:lineRule="auto"/>
              <w:jc w:val="right"/>
            </w:pPr>
            <w:r>
              <w:rPr>
                <w:rFonts w:ascii="Times New Roman" w:eastAsia="Times New Roman" w:hAnsi="Times New Roman" w:cs="Times New Roman"/>
                <w:b w:val="0"/>
                <w:i w:val="0"/>
                <w:color w:val="000000"/>
                <w:sz w:val="20"/>
                <w:u w:val="none"/>
              </w:rPr>
              <w:tab/>
              <w:t>—</w:t>
              <w:tab/>
            </w: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Non-compete agreements</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5.2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12"/>
                <w:tab w:val="left" w:pos="1627"/>
              </w:tabs>
              <w:spacing w:before="53" w:after="30" w:line="240" w:lineRule="auto"/>
              <w:jc w:val="right"/>
            </w:pPr>
            <w:r>
              <w:rPr>
                <w:rFonts w:ascii="Times New Roman" w:eastAsia="Times New Roman" w:hAnsi="Times New Roman" w:cs="Times New Roman"/>
                <w:b w:val="0"/>
                <w:i w:val="0"/>
                <w:color w:val="000000"/>
                <w:sz w:val="20"/>
                <w:u w:val="none"/>
              </w:rPr>
              <w:tab/>
              <w:t>1,032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176"/>
              </w:tabs>
              <w:spacing w:before="53" w:after="30" w:line="240" w:lineRule="auto"/>
              <w:jc w:val="right"/>
            </w:pPr>
            <w:r>
              <w:rPr>
                <w:rFonts w:ascii="Times New Roman" w:eastAsia="Times New Roman" w:hAnsi="Times New Roman" w:cs="Times New Roman"/>
                <w:b w:val="0"/>
                <w:i w:val="0"/>
                <w:color w:val="000000"/>
                <w:sz w:val="20"/>
                <w:u w:val="none"/>
              </w:rPr>
              <w:tab/>
              <w:t>(964)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362"/>
                <w:tab w:val="left" w:pos="1627"/>
              </w:tabs>
              <w:spacing w:before="53" w:after="30" w:line="240" w:lineRule="auto"/>
              <w:jc w:val="right"/>
            </w:pPr>
            <w:r>
              <w:rPr>
                <w:rFonts w:ascii="Times New Roman" w:eastAsia="Times New Roman" w:hAnsi="Times New Roman" w:cs="Times New Roman"/>
                <w:b w:val="0"/>
                <w:i w:val="0"/>
                <w:color w:val="000000"/>
                <w:sz w:val="20"/>
                <w:u w:val="none"/>
              </w:rPr>
              <w:tab/>
              <w:t>68</w:t>
              <w:tab/>
            </w:r>
          </w:p>
        </w:tc>
      </w:tr>
      <w:tr>
        <w:tblPrEx>
          <w:tblW w:w="10245" w:type="dxa"/>
          <w:tblLayout w:type="fixed"/>
        </w:tblPrEx>
        <w:trPr>
          <w:trHeight w:hRule="exact" w:val="285"/>
        </w:trPr>
        <w:tc>
          <w:tcPr>
            <w:tcW w:w="316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val="0"/>
                <w:i w:val="0"/>
                <w:color w:val="000000"/>
                <w:sz w:val="20"/>
                <w:u w:val="none"/>
              </w:rPr>
              <w:t>8.2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912"/>
                <w:tab w:val="left" w:pos="1627"/>
              </w:tabs>
              <w:spacing w:before="33" w:after="30" w:line="240" w:lineRule="auto"/>
              <w:jc w:val="right"/>
            </w:pPr>
            <w:r>
              <w:rPr>
                <w:rFonts w:ascii="Times New Roman" w:eastAsia="Times New Roman" w:hAnsi="Times New Roman" w:cs="Times New Roman"/>
                <w:b w:val="0"/>
                <w:i w:val="0"/>
                <w:color w:val="000000"/>
                <w:sz w:val="20"/>
                <w:u w:val="none"/>
              </w:rPr>
              <w:t>$</w:t>
              <w:tab/>
              <w:t>209,762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826"/>
              </w:tabs>
              <w:spacing w:before="33" w:after="30" w:line="240" w:lineRule="auto"/>
              <w:jc w:val="right"/>
            </w:pPr>
            <w:r>
              <w:rPr>
                <w:rFonts w:ascii="Times New Roman" w:eastAsia="Times New Roman" w:hAnsi="Times New Roman" w:cs="Times New Roman"/>
                <w:b w:val="0"/>
                <w:i w:val="0"/>
                <w:color w:val="000000"/>
                <w:sz w:val="20"/>
                <w:u w:val="none"/>
              </w:rPr>
              <w:t>$</w:t>
              <w:tab/>
              <w:t>(130,465)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1012"/>
                <w:tab w:val="left" w:pos="1627"/>
              </w:tabs>
              <w:spacing w:before="33" w:after="30" w:line="240" w:lineRule="auto"/>
              <w:jc w:val="right"/>
            </w:pPr>
            <w:r>
              <w:rPr>
                <w:rFonts w:ascii="Times New Roman" w:eastAsia="Times New Roman" w:hAnsi="Times New Roman" w:cs="Times New Roman"/>
                <w:b w:val="0"/>
                <w:i w:val="0"/>
                <w:color w:val="000000"/>
                <w:sz w:val="20"/>
                <w:u w:val="none"/>
              </w:rPr>
              <w:t>$</w:t>
              <w:tab/>
              <w:t>79,297</w:t>
              <w:tab/>
            </w: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316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December 31, 2025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Customer relationships</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8.5</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12"/>
                <w:tab w:val="left" w:pos="1627"/>
              </w:tabs>
              <w:spacing w:before="53" w:after="30" w:line="240" w:lineRule="auto"/>
              <w:jc w:val="right"/>
            </w:pPr>
            <w:r>
              <w:rPr>
                <w:rFonts w:ascii="Times New Roman" w:eastAsia="Times New Roman" w:hAnsi="Times New Roman" w:cs="Times New Roman"/>
                <w:b w:val="0"/>
                <w:i w:val="0"/>
                <w:color w:val="000000"/>
                <w:sz w:val="20"/>
                <w:u w:val="none"/>
              </w:rPr>
              <w:t>$</w:t>
              <w:tab/>
              <w:t>182,024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826"/>
              </w:tabs>
              <w:spacing w:before="53" w:after="30" w:line="240" w:lineRule="auto"/>
              <w:jc w:val="right"/>
            </w:pPr>
            <w:r>
              <w:rPr>
                <w:rFonts w:ascii="Times New Roman" w:eastAsia="Times New Roman" w:hAnsi="Times New Roman" w:cs="Times New Roman"/>
                <w:b w:val="0"/>
                <w:i w:val="0"/>
                <w:color w:val="000000"/>
                <w:sz w:val="20"/>
                <w:u w:val="none"/>
              </w:rPr>
              <w:t>$</w:t>
              <w:tab/>
              <w:t>(101,343)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12"/>
                <w:tab w:val="left" w:pos="1627"/>
              </w:tabs>
              <w:spacing w:before="53" w:after="30" w:line="240" w:lineRule="auto"/>
              <w:jc w:val="right"/>
            </w:pPr>
            <w:r>
              <w:rPr>
                <w:rFonts w:ascii="Times New Roman" w:eastAsia="Times New Roman" w:hAnsi="Times New Roman" w:cs="Times New Roman"/>
                <w:b w:val="0"/>
                <w:i w:val="0"/>
                <w:color w:val="000000"/>
                <w:sz w:val="20"/>
                <w:u w:val="none"/>
              </w:rPr>
              <w:t>$</w:t>
              <w:tab/>
              <w:t>80,681</w:t>
              <w:tab/>
            </w:r>
          </w:p>
        </w:tc>
      </w:tr>
      <w:tr>
        <w:tblPrEx>
          <w:tblW w:w="10245" w:type="dxa"/>
          <w:tblLayout w:type="fixed"/>
        </w:tblPrEx>
        <w:trPr>
          <w:trHeight w:hRule="exact" w:val="285"/>
        </w:trPr>
        <w:tc>
          <w:tcPr>
            <w:tcW w:w="316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Developed technology</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6.6</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012"/>
                <w:tab w:val="left" w:pos="1627"/>
              </w:tabs>
              <w:spacing w:before="53" w:after="30" w:line="240" w:lineRule="auto"/>
              <w:jc w:val="right"/>
            </w:pPr>
            <w:r>
              <w:rPr>
                <w:rFonts w:ascii="Times New Roman" w:eastAsia="Times New Roman" w:hAnsi="Times New Roman" w:cs="Times New Roman"/>
                <w:b w:val="0"/>
                <w:i w:val="0"/>
                <w:color w:val="000000"/>
                <w:sz w:val="20"/>
                <w:u w:val="none"/>
              </w:rPr>
              <w:tab/>
              <w:t>19,501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26"/>
              </w:tabs>
              <w:spacing w:before="53" w:after="30" w:line="240" w:lineRule="auto"/>
              <w:jc w:val="right"/>
            </w:pPr>
            <w:r>
              <w:rPr>
                <w:rFonts w:ascii="Times New Roman" w:eastAsia="Times New Roman" w:hAnsi="Times New Roman" w:cs="Times New Roman"/>
                <w:b w:val="0"/>
                <w:i w:val="0"/>
                <w:color w:val="000000"/>
                <w:sz w:val="20"/>
                <w:u w:val="none"/>
              </w:rPr>
              <w:tab/>
              <w:t>(12,348)</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12"/>
                <w:tab w:val="left" w:pos="1627"/>
              </w:tabs>
              <w:spacing w:before="53" w:after="30" w:line="240" w:lineRule="auto"/>
              <w:jc w:val="right"/>
            </w:pPr>
            <w:r>
              <w:rPr>
                <w:rFonts w:ascii="Times New Roman" w:eastAsia="Times New Roman" w:hAnsi="Times New Roman" w:cs="Times New Roman"/>
                <w:b w:val="0"/>
                <w:i w:val="0"/>
                <w:color w:val="000000"/>
                <w:sz w:val="20"/>
                <w:u w:val="none"/>
              </w:rPr>
              <w:tab/>
              <w:t>7,153</w:t>
              <w:tab/>
            </w: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Trade names</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4.3</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262"/>
                <w:tab w:val="left" w:pos="1627"/>
              </w:tabs>
              <w:spacing w:before="53" w:after="30" w:line="240" w:lineRule="auto"/>
              <w:jc w:val="right"/>
            </w:pPr>
            <w:r>
              <w:rPr>
                <w:rFonts w:ascii="Times New Roman" w:eastAsia="Times New Roman" w:hAnsi="Times New Roman" w:cs="Times New Roman"/>
                <w:b w:val="0"/>
                <w:i w:val="0"/>
                <w:color w:val="000000"/>
                <w:sz w:val="20"/>
                <w:u w:val="none"/>
              </w:rPr>
              <w:tab/>
              <w:t>880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6"/>
              </w:tabs>
              <w:spacing w:before="53" w:after="30" w:line="240" w:lineRule="auto"/>
              <w:jc w:val="right"/>
            </w:pPr>
            <w:r>
              <w:rPr>
                <w:rFonts w:ascii="Times New Roman" w:eastAsia="Times New Roman" w:hAnsi="Times New Roman" w:cs="Times New Roman"/>
                <w:b w:val="0"/>
                <w:i w:val="0"/>
                <w:color w:val="000000"/>
                <w:sz w:val="20"/>
                <w:u w:val="none"/>
              </w:rPr>
              <w:tab/>
              <w:t>(880)</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62"/>
                <w:tab w:val="left" w:pos="1627"/>
              </w:tabs>
              <w:spacing w:before="53" w:after="30" w:line="240" w:lineRule="auto"/>
              <w:jc w:val="right"/>
            </w:pPr>
            <w:r>
              <w:rPr>
                <w:rFonts w:ascii="Times New Roman" w:eastAsia="Times New Roman" w:hAnsi="Times New Roman" w:cs="Times New Roman"/>
                <w:b w:val="0"/>
                <w:i w:val="0"/>
                <w:color w:val="000000"/>
                <w:sz w:val="20"/>
                <w:u w:val="none"/>
              </w:rPr>
              <w:tab/>
              <w:t>—</w:t>
              <w:tab/>
            </w:r>
          </w:p>
        </w:tc>
      </w:tr>
      <w:tr>
        <w:tblPrEx>
          <w:tblW w:w="10245" w:type="dxa"/>
          <w:tblLayout w:type="fixed"/>
        </w:tblPrEx>
        <w:trPr>
          <w:trHeight w:hRule="exact" w:val="285"/>
        </w:trPr>
        <w:tc>
          <w:tcPr>
            <w:tcW w:w="316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Non-compete agreements</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5.2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112"/>
                <w:tab w:val="left" w:pos="1627"/>
              </w:tabs>
              <w:spacing w:before="53" w:after="30" w:line="240" w:lineRule="auto"/>
              <w:jc w:val="right"/>
            </w:pPr>
            <w:r>
              <w:rPr>
                <w:rFonts w:ascii="Times New Roman" w:eastAsia="Times New Roman" w:hAnsi="Times New Roman" w:cs="Times New Roman"/>
                <w:b w:val="0"/>
                <w:i w:val="0"/>
                <w:color w:val="000000"/>
                <w:sz w:val="20"/>
                <w:u w:val="none"/>
              </w:rPr>
              <w:tab/>
              <w:t>1,032</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176"/>
              </w:tabs>
              <w:spacing w:before="53" w:after="30" w:line="240" w:lineRule="auto"/>
              <w:jc w:val="right"/>
            </w:pPr>
            <w:r>
              <w:rPr>
                <w:rFonts w:ascii="Times New Roman" w:eastAsia="Times New Roman" w:hAnsi="Times New Roman" w:cs="Times New Roman"/>
                <w:b w:val="0"/>
                <w:i w:val="0"/>
                <w:color w:val="000000"/>
                <w:sz w:val="20"/>
                <w:u w:val="none"/>
              </w:rPr>
              <w:tab/>
              <w:t>(955)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362"/>
                <w:tab w:val="left" w:pos="1627"/>
              </w:tabs>
              <w:spacing w:before="53" w:after="30" w:line="240" w:lineRule="auto"/>
              <w:jc w:val="right"/>
            </w:pPr>
            <w:r>
              <w:rPr>
                <w:rFonts w:ascii="Times New Roman" w:eastAsia="Times New Roman" w:hAnsi="Times New Roman" w:cs="Times New Roman"/>
                <w:b w:val="0"/>
                <w:i w:val="0"/>
                <w:color w:val="000000"/>
                <w:sz w:val="20"/>
                <w:u w:val="none"/>
              </w:rPr>
              <w:tab/>
              <w:t>77</w:t>
              <w:tab/>
            </w:r>
          </w:p>
        </w:tc>
      </w:tr>
      <w:tr>
        <w:tblPrEx>
          <w:tblW w:w="10245" w:type="dxa"/>
          <w:tblLayout w:type="fixed"/>
        </w:tblPrEx>
        <w:trPr>
          <w:trHeight w:hRule="exact" w:val="285"/>
        </w:trPr>
        <w:tc>
          <w:tcPr>
            <w:tcW w:w="316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69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center"/>
            </w:pPr>
            <w:r>
              <w:rPr>
                <w:rFonts w:ascii="Times New Roman" w:eastAsia="Times New Roman" w:hAnsi="Times New Roman" w:cs="Times New Roman"/>
                <w:b w:val="0"/>
                <w:i w:val="0"/>
                <w:color w:val="000000"/>
                <w:sz w:val="20"/>
                <w:u w:val="none"/>
              </w:rPr>
              <w:t>8.2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69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912"/>
                <w:tab w:val="left" w:pos="1627"/>
              </w:tabs>
              <w:spacing w:before="33" w:after="30" w:line="240" w:lineRule="auto"/>
              <w:jc w:val="right"/>
            </w:pPr>
            <w:r>
              <w:rPr>
                <w:rFonts w:ascii="Times New Roman" w:eastAsia="Times New Roman" w:hAnsi="Times New Roman" w:cs="Times New Roman"/>
                <w:b w:val="0"/>
                <w:i w:val="0"/>
                <w:color w:val="000000"/>
                <w:sz w:val="20"/>
                <w:u w:val="none"/>
              </w:rPr>
              <w:t>$</w:t>
              <w:tab/>
              <w:t>203,437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69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826"/>
              </w:tabs>
              <w:spacing w:before="33" w:after="30" w:line="240" w:lineRule="auto"/>
              <w:jc w:val="right"/>
            </w:pPr>
            <w:r>
              <w:rPr>
                <w:rFonts w:ascii="Times New Roman" w:eastAsia="Times New Roman" w:hAnsi="Times New Roman" w:cs="Times New Roman"/>
                <w:b w:val="0"/>
                <w:i w:val="0"/>
                <w:color w:val="000000"/>
                <w:sz w:val="20"/>
                <w:u w:val="none"/>
              </w:rPr>
              <w:t>$</w:t>
              <w:tab/>
              <w:t>(115,526)</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69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012"/>
                <w:tab w:val="left" w:pos="1627"/>
              </w:tabs>
              <w:spacing w:before="33" w:after="30" w:line="240" w:lineRule="auto"/>
              <w:jc w:val="right"/>
            </w:pPr>
            <w:r>
              <w:rPr>
                <w:rFonts w:ascii="Times New Roman" w:eastAsia="Times New Roman" w:hAnsi="Times New Roman" w:cs="Times New Roman"/>
                <w:b w:val="0"/>
                <w:i w:val="0"/>
                <w:color w:val="000000"/>
                <w:sz w:val="20"/>
                <w:u w:val="none"/>
              </w:rPr>
              <w:t>$</w:t>
              <w:tab/>
              <w:t>87,911</w:t>
              <w:tab/>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We record amortization expenses using the </w:t>
      </w:r>
      <w:r>
        <w:rPr>
          <w:rFonts w:ascii="Times New Roman" w:eastAsia="Times New Roman" w:hAnsi="Times New Roman" w:cs="Times New Roman"/>
          <w:b w:val="0"/>
          <w:i w:val="0"/>
          <w:color w:val="000000"/>
          <w:sz w:val="20"/>
          <w:u w:val="none"/>
        </w:rPr>
        <w:t>straight-line method</w:t>
      </w:r>
      <w:r>
        <w:rPr>
          <w:rFonts w:ascii="Times New Roman" w:eastAsia="Times New Roman" w:hAnsi="Times New Roman" w:cs="Times New Roman"/>
          <w:b w:val="0"/>
          <w:i w:val="0"/>
          <w:color w:val="000000"/>
          <w:sz w:val="20"/>
          <w:u w:val="none"/>
        </w:rPr>
        <w:t xml:space="preserve"> over the estimated useful lives of the intangible assets, as noted above. Amortization expenses recorded in operating expenses were </w:t>
      </w:r>
      <w:r>
        <w:rPr>
          <w:rFonts w:ascii="Times New Roman" w:eastAsia="Times New Roman" w:hAnsi="Times New Roman" w:cs="Times New Roman"/>
          <w:b w:val="0"/>
          <w:i w:val="0"/>
          <w:color w:val="000000"/>
          <w:sz w:val="20"/>
          <w:u w:val="none"/>
        </w:rPr>
        <w:t>$13,848</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$13,250</w:t>
      </w:r>
      <w:r>
        <w:rPr>
          <w:rFonts w:ascii="Times New Roman" w:eastAsia="Times New Roman" w:hAnsi="Times New Roman" w:cs="Times New Roman"/>
          <w:b w:val="0"/>
          <w:i w:val="0"/>
          <w:color w:val="000000"/>
          <w:sz w:val="20"/>
          <w:u w:val="none"/>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 xml:space="preserve">, respectively. Amortization expenses recorded in cost of sales were </w:t>
      </w:r>
      <w:r>
        <w:rPr>
          <w:rFonts w:ascii="Times New Roman" w:eastAsia="Times New Roman" w:hAnsi="Times New Roman" w:cs="Times New Roman"/>
          <w:b w:val="0"/>
          <w:i w:val="0"/>
          <w:color w:val="000000"/>
          <w:sz w:val="20"/>
          <w:u w:val="none"/>
        </w:rPr>
        <w:t>$1,091</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$783</w:t>
      </w:r>
      <w:r>
        <w:rPr>
          <w:rFonts w:ascii="Times New Roman" w:eastAsia="Times New Roman" w:hAnsi="Times New Roman" w:cs="Times New Roman"/>
          <w:b w:val="0"/>
          <w:i w:val="0"/>
          <w:color w:val="000000"/>
          <w:sz w:val="20"/>
          <w:u w:val="none"/>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 xml:space="preserve">, respectively. There was </w:t>
      </w:r>
      <w:r>
        <w:rPr>
          <w:rFonts w:ascii="Times New Roman" w:eastAsia="Times New Roman" w:hAnsi="Times New Roman" w:cs="Times New Roman"/>
          <w:b w:val="0"/>
          <w:i w:val="0"/>
          <w:color w:val="000000"/>
          <w:sz w:val="20"/>
          <w:u w:val="none"/>
        </w:rPr>
        <w:t>no</w:t>
      </w:r>
      <w:r>
        <w:rPr>
          <w:rFonts w:ascii="Times New Roman" w:eastAsia="Times New Roman" w:hAnsi="Times New Roman" w:cs="Times New Roman"/>
          <w:b w:val="0"/>
          <w:i w:val="0"/>
          <w:color w:val="000000"/>
          <w:sz w:val="20"/>
          <w:u w:val="none"/>
        </w:rPr>
        <w:t xml:space="preserve"> impairment of intangibles during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based on the qualitative assessment we performed. However, if market, political and other conditions over which we have no control continue to affect the capital markets and our stock price declines, we may experience an impairment of our intangibles in future quarters.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following table summarizes the future estimated amortization expense relating to our intangible assets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(in thousands):</w:t>
      </w:r>
    </w:p>
    <w:tbl>
      <w:tblPr>
        <w:tblStyle w:val="TableNormal0"/>
        <w:tblW w:w="6645" w:type="dxa"/>
        <w:jc w:val="center"/>
        <w:tblLayout w:type="fixed"/>
      </w:tblPr>
      <w:tblGrid>
        <w:gridCol w:w="4785"/>
        <w:gridCol w:w="1860"/>
      </w:tblGrid>
      <w:tr>
        <w:tblPrEx>
          <w:tblW w:w="6645"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2026 (Remaining)</w:t>
            </w:r>
          </w:p>
        </w:tc>
        <w:tc>
          <w:tcPr>
            <w:tcW w:w="18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277"/>
                <w:tab w:val="left" w:pos="1792"/>
              </w:tabs>
              <w:spacing w:before="53" w:after="30" w:line="240" w:lineRule="auto"/>
              <w:jc w:val="right"/>
            </w:pPr>
            <w:r>
              <w:rPr>
                <w:rFonts w:ascii="Times New Roman" w:eastAsia="Times New Roman" w:hAnsi="Times New Roman" w:cs="Times New Roman"/>
                <w:b w:val="0"/>
                <w:i w:val="0"/>
                <w:color w:val="000000"/>
                <w:sz w:val="20"/>
                <w:u w:val="none"/>
              </w:rPr>
              <w:t>$</w:t>
              <w:tab/>
              <w:t>4,478</w:t>
              <w:tab/>
            </w:r>
          </w:p>
        </w:tc>
      </w:tr>
      <w:tr>
        <w:tblPrEx>
          <w:tblW w:w="6645"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2027</w:t>
            </w:r>
          </w:p>
        </w:tc>
        <w:tc>
          <w:tcPr>
            <w:tcW w:w="18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17,253</w:t>
              <w:tab/>
            </w:r>
          </w:p>
        </w:tc>
      </w:tr>
      <w:tr>
        <w:tblPrEx>
          <w:tblW w:w="6645"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2028</w:t>
            </w:r>
          </w:p>
        </w:tc>
        <w:tc>
          <w:tcPr>
            <w:tcW w:w="18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15,808</w:t>
              <w:tab/>
            </w:r>
          </w:p>
        </w:tc>
      </w:tr>
      <w:tr>
        <w:tblPrEx>
          <w:tblW w:w="6645"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2029</w:t>
            </w:r>
          </w:p>
        </w:tc>
        <w:tc>
          <w:tcPr>
            <w:tcW w:w="18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13,645</w:t>
              <w:tab/>
            </w:r>
          </w:p>
        </w:tc>
      </w:tr>
      <w:tr>
        <w:tblPrEx>
          <w:tblW w:w="6645"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2030</w:t>
            </w:r>
          </w:p>
        </w:tc>
        <w:tc>
          <w:tcPr>
            <w:tcW w:w="1860"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77"/>
                <w:tab w:val="left" w:pos="1792"/>
              </w:tabs>
              <w:spacing w:before="53" w:after="30" w:line="240" w:lineRule="auto"/>
              <w:jc w:val="right"/>
            </w:pPr>
            <w:r>
              <w:rPr>
                <w:rFonts w:ascii="Times New Roman" w:eastAsia="Times New Roman" w:hAnsi="Times New Roman" w:cs="Times New Roman"/>
                <w:b w:val="0"/>
                <w:i w:val="0"/>
                <w:color w:val="000000"/>
                <w:sz w:val="20"/>
                <w:u w:val="none"/>
              </w:rPr>
              <w:tab/>
              <w:t>10,014</w:t>
              <w:tab/>
            </w:r>
          </w:p>
        </w:tc>
      </w:tr>
      <w:tr>
        <w:tblPrEx>
          <w:tblW w:w="6645"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2031</w:t>
            </w:r>
          </w:p>
        </w:tc>
        <w:tc>
          <w:tcPr>
            <w:tcW w:w="1860"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277"/>
                <w:tab w:val="left" w:pos="1792"/>
              </w:tabs>
              <w:spacing w:before="53" w:after="30" w:line="240" w:lineRule="auto"/>
              <w:jc w:val="right"/>
            </w:pPr>
            <w:r>
              <w:rPr>
                <w:rFonts w:ascii="Times New Roman" w:eastAsia="Times New Roman" w:hAnsi="Times New Roman" w:cs="Times New Roman"/>
                <w:b w:val="0"/>
                <w:i w:val="0"/>
                <w:color w:val="000000"/>
                <w:sz w:val="20"/>
                <w:u w:val="none"/>
              </w:rPr>
              <w:tab/>
              <w:t>9,033</w:t>
              <w:tab/>
            </w:r>
          </w:p>
        </w:tc>
      </w:tr>
      <w:tr>
        <w:tblPrEx>
          <w:tblW w:w="6645"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Thereafter</w:t>
            </w:r>
          </w:p>
        </w:tc>
        <w:tc>
          <w:tcPr>
            <w:tcW w:w="1860"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277"/>
                <w:tab w:val="left" w:pos="1792"/>
              </w:tabs>
              <w:spacing w:before="53" w:after="30" w:line="240" w:lineRule="auto"/>
              <w:jc w:val="right"/>
            </w:pPr>
            <w:r>
              <w:rPr>
                <w:rFonts w:ascii="Times New Roman" w:eastAsia="Times New Roman" w:hAnsi="Times New Roman" w:cs="Times New Roman"/>
                <w:b w:val="0"/>
                <w:i w:val="0"/>
                <w:color w:val="000000"/>
                <w:sz w:val="20"/>
                <w:u w:val="none"/>
              </w:rPr>
              <w:tab/>
              <w:t>9,066</w:t>
              <w:tab/>
            </w:r>
          </w:p>
        </w:tc>
      </w:tr>
      <w:tr>
        <w:tblPrEx>
          <w:tblW w:w="6645"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186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1177"/>
                <w:tab w:val="left" w:pos="1792"/>
              </w:tabs>
              <w:spacing w:before="33" w:after="30" w:line="240" w:lineRule="auto"/>
              <w:jc w:val="right"/>
            </w:pPr>
            <w:r>
              <w:rPr>
                <w:rFonts w:ascii="Times New Roman" w:eastAsia="Times New Roman" w:hAnsi="Times New Roman" w:cs="Times New Roman"/>
                <w:b w:val="0"/>
                <w:i w:val="0"/>
                <w:color w:val="000000"/>
                <w:sz w:val="20"/>
                <w:u w:val="none"/>
              </w:rPr>
              <w:t>$</w:t>
              <w:tab/>
              <w:t>79,297</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3"/>
        <w:rPr>
          <w:rFonts w:ascii="Times New Roman" w:eastAsia="Times New Roman" w:hAnsi="Times New Roman" w:cs="Times New Roman"/>
          <w:b/>
          <w:i w:val="0"/>
          <w:color w:val="000000"/>
          <w:sz w:val="20"/>
          <w:highlight w:val="white"/>
          <w:u w:val="none"/>
        </w:rPr>
      </w:pPr>
      <w:bookmarkStart w:id="14" w:name="Section15"/>
      <w:bookmarkEnd w:id="14"/>
      <w:r>
        <w:rPr>
          <w:rFonts w:ascii="Times New Roman" w:eastAsia="Times New Roman" w:hAnsi="Times New Roman" w:cs="Times New Roman"/>
          <w:b/>
          <w:i w:val="0"/>
          <w:color w:val="000000"/>
          <w:sz w:val="20"/>
          <w:highlight w:val="white"/>
          <w:u w:val="none"/>
        </w:rPr>
        <w:t xml:space="preserve">NOTE 6 - </w:t>
      </w:r>
      <w:r>
        <w:rPr>
          <w:rFonts w:ascii="Times New Roman" w:eastAsia="Times New Roman" w:hAnsi="Times New Roman" w:cs="Times New Roman"/>
          <w:b/>
          <w:i w:val="0"/>
          <w:color w:val="000000"/>
          <w:sz w:val="20"/>
          <w:highlight w:val="white"/>
          <w:u w:val="none"/>
        </w:rPr>
        <w:t>NOTES PAYABLE</w:t>
      </w:r>
    </w:p>
    <w:p>
      <w:pPr>
        <w:keepNext/>
        <w:keepLines/>
        <w:pageBreakBefore w:val="0"/>
        <w:widowControl w:val="0"/>
        <w:numPr>
          <w:ilvl w:val="0"/>
          <w:numId w:val="0"/>
        </w:numPr>
        <w:spacing w:before="0" w:after="0" w:line="288" w:lineRule="auto"/>
        <w:ind w:left="0" w:right="0" w:firstLine="135"/>
        <w:jc w:val="left"/>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following table summarizes our outstanding debt as of the dates indicated</w:t>
      </w:r>
      <w:r>
        <w:rPr>
          <w:rFonts w:ascii="Times New Roman" w:eastAsia="Times New Roman" w:hAnsi="Times New Roman" w:cs="Times New Roman"/>
          <w:b w:val="0"/>
          <w:i w:val="0"/>
          <w:color w:val="000000"/>
          <w:sz w:val="20"/>
          <w:u w:val="none"/>
          <w:vertAlign w:val="superscript"/>
        </w:rPr>
        <w:t xml:space="preserve"> </w:t>
      </w:r>
      <w:r>
        <w:rPr>
          <w:rFonts w:ascii="Times New Roman" w:eastAsia="Times New Roman" w:hAnsi="Times New Roman" w:cs="Times New Roman"/>
          <w:b w:val="0"/>
          <w:i w:val="0"/>
          <w:color w:val="000000"/>
          <w:sz w:val="20"/>
          <w:u w:val="none"/>
        </w:rPr>
        <w:t>(in thousands)</w:t>
      </w:r>
      <w:r>
        <w:rPr>
          <w:rFonts w:ascii="Times New Roman" w:eastAsia="Times New Roman" w:hAnsi="Times New Roman" w:cs="Times New Roman"/>
          <w:b w:val="0"/>
          <w:i w:val="0"/>
          <w:color w:val="000000"/>
          <w:sz w:val="20"/>
          <w:u w:val="none"/>
        </w:rPr>
        <w:t>:</w:t>
      </w:r>
    </w:p>
    <w:tbl>
      <w:tblPr>
        <w:tblStyle w:val="TableNormal0"/>
        <w:tblW w:w="10230" w:type="dxa"/>
        <w:jc w:val="center"/>
        <w:tblLayout w:type="fixed"/>
      </w:tblPr>
      <w:tblGrid>
        <w:gridCol w:w="3195"/>
        <w:gridCol w:w="1695"/>
        <w:gridCol w:w="75"/>
        <w:gridCol w:w="1695"/>
        <w:gridCol w:w="75"/>
        <w:gridCol w:w="1725"/>
        <w:gridCol w:w="75"/>
        <w:gridCol w:w="1695"/>
      </w:tblGrid>
      <w:tr>
        <w:tblPrEx>
          <w:tblW w:w="10230" w:type="dxa"/>
          <w:tblLayout w:type="fixed"/>
        </w:tblPrEx>
        <w:trPr>
          <w:trHeight w:hRule="exact" w:val="465"/>
        </w:trPr>
        <w:tc>
          <w:tcPr>
            <w:tcW w:w="319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Maturity</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Cash Interest Rate</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72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September 30, 2026</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December 31, 2025</w:t>
            </w:r>
          </w:p>
        </w:tc>
      </w:tr>
      <w:tr>
        <w:tblPrEx>
          <w:tblW w:w="10230" w:type="dxa"/>
          <w:tblLayout w:type="fixed"/>
        </w:tblPrEx>
        <w:trPr>
          <w:trHeight w:hRule="exact" w:val="285"/>
        </w:trPr>
        <w:tc>
          <w:tcPr>
            <w:tcW w:w="319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numPr>
                <w:ilvl w:val="0"/>
                <w:numId w:val="0"/>
              </w:numPr>
              <w:spacing w:before="3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Notes Payable – Acquisitions</w:t>
            </w:r>
            <w:r>
              <w:rPr>
                <w:rFonts w:ascii="Times New Roman" w:eastAsia="Times New Roman" w:hAnsi="Times New Roman" w:cs="Times New Roman"/>
                <w:b w:val="0"/>
                <w:i w:val="0"/>
                <w:sz w:val="20"/>
                <w:vertAlign w:val="superscript"/>
              </w:rPr>
              <w:t>(1)</w:t>
            </w:r>
          </w:p>
        </w:tc>
        <w:tc>
          <w:tcPr>
            <w:tcW w:w="1695" w:type="dxa"/>
            <w:tcBorders>
              <w:top w:val="single" w:sz="8" w:space="0" w:color="000000"/>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val="0"/>
                <w:i w:val="0"/>
                <w:color w:val="000000"/>
                <w:sz w:val="20"/>
                <w:u w:val="none"/>
              </w:rPr>
              <w:t>11/01/26 - 07/01/29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nil"/>
              <w:right w:val="nil"/>
            </w:tcBorders>
            <w:shd w:val="clear" w:color="auto" w:fill="CCEEFF"/>
            <w:tcMar>
              <w:top w:w="0" w:type="dxa"/>
              <w:left w:w="53" w:type="dxa"/>
              <w:bottom w:w="0" w:type="dxa"/>
              <w:right w:w="53" w:type="dxa"/>
            </w:tcMar>
            <w:vAlign w:val="bottom"/>
          </w:tcPr>
          <w:p>
            <w:pPr>
              <w:keepNext/>
              <w:pageBreakBefore w:val="0"/>
              <w:numPr>
                <w:ilvl w:val="0"/>
                <w:numId w:val="0"/>
              </w:numPr>
              <w:spacing w:before="33" w:after="30" w:line="240"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color w:val="000000"/>
                <w:sz w:val="20"/>
                <w:u w:val="none"/>
              </w:rPr>
              <w:t>2.00%</w:t>
            </w:r>
            <w:r>
              <w:rPr>
                <w:rFonts w:ascii="Times New Roman" w:eastAsia="Times New Roman" w:hAnsi="Times New Roman" w:cs="Times New Roman"/>
                <w:b w:val="0"/>
                <w:i w:val="0"/>
                <w:sz w:val="20"/>
              </w:rPr>
              <w:t xml:space="preserve"> - </w:t>
            </w:r>
            <w:r>
              <w:rPr>
                <w:rFonts w:ascii="Times New Roman" w:eastAsia="Times New Roman" w:hAnsi="Times New Roman" w:cs="Times New Roman"/>
                <w:b w:val="0"/>
                <w:i w:val="0"/>
                <w:color w:val="000000"/>
                <w:sz w:val="20"/>
                <w:u w:val="none"/>
              </w:rPr>
              <w:t>4.00%</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72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42"/>
                <w:tab w:val="left" w:pos="1657"/>
              </w:tabs>
              <w:spacing w:before="33" w:after="30" w:line="240" w:lineRule="auto"/>
              <w:jc w:val="right"/>
            </w:pPr>
            <w:r>
              <w:rPr>
                <w:rFonts w:ascii="Times New Roman" w:eastAsia="Times New Roman" w:hAnsi="Times New Roman" w:cs="Times New Roman"/>
                <w:b w:val="0"/>
                <w:i w:val="0"/>
                <w:color w:val="000000"/>
                <w:sz w:val="20"/>
                <w:u w:val="none"/>
              </w:rPr>
              <w:t>$</w:t>
              <w:tab/>
              <w:t>6,811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69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012"/>
                <w:tab w:val="left" w:pos="1627"/>
              </w:tabs>
              <w:spacing w:before="33" w:after="30" w:line="240" w:lineRule="auto"/>
              <w:jc w:val="right"/>
            </w:pPr>
            <w:r>
              <w:rPr>
                <w:rFonts w:ascii="Times New Roman" w:eastAsia="Times New Roman" w:hAnsi="Times New Roman" w:cs="Times New Roman"/>
                <w:b w:val="0"/>
                <w:i w:val="0"/>
                <w:color w:val="000000"/>
                <w:sz w:val="20"/>
                <w:u w:val="none"/>
              </w:rPr>
              <w:t>$</w:t>
              <w:tab/>
              <w:t>10,775</w:t>
              <w:tab/>
            </w:r>
          </w:p>
        </w:tc>
      </w:tr>
      <w:tr>
        <w:tblPrEx>
          <w:tblW w:w="10230" w:type="dxa"/>
          <w:tblLayout w:type="fixed"/>
        </w:tblPrEx>
        <w:trPr>
          <w:trHeight w:hRule="exact" w:val="285"/>
        </w:trPr>
        <w:tc>
          <w:tcPr>
            <w:tcW w:w="31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Notes Payable – Senior Credit Facility</w:t>
            </w:r>
          </w:p>
        </w:tc>
        <w:tc>
          <w:tcPr>
            <w:tcW w:w="169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04/01/30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nil"/>
              <w:right w:val="nil"/>
            </w:tcBorders>
            <w:shd w:val="clear" w:color="auto" w:fill="FFFFFF"/>
            <w:tcMar>
              <w:top w:w="0" w:type="dxa"/>
              <w:left w:w="53" w:type="dxa"/>
              <w:bottom w:w="0" w:type="dxa"/>
              <w:right w:w="15" w:type="dxa"/>
            </w:tcMar>
            <w:vAlign w:val="bottom"/>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9.06%</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72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042"/>
                <w:tab w:val="left" w:pos="1657"/>
              </w:tabs>
              <w:spacing w:before="53" w:after="30" w:line="240" w:lineRule="auto"/>
              <w:jc w:val="right"/>
            </w:pPr>
            <w:r>
              <w:rPr>
                <w:rFonts w:ascii="Times New Roman" w:eastAsia="Times New Roman" w:hAnsi="Times New Roman" w:cs="Times New Roman"/>
                <w:b w:val="0"/>
                <w:i w:val="0"/>
                <w:color w:val="000000"/>
                <w:sz w:val="20"/>
                <w:u w:val="none"/>
              </w:rPr>
              <w:tab/>
              <w:t>60,000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69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012"/>
                <w:tab w:val="left" w:pos="1627"/>
              </w:tabs>
              <w:spacing w:before="53" w:after="30" w:line="240" w:lineRule="auto"/>
              <w:jc w:val="right"/>
            </w:pPr>
            <w:r>
              <w:rPr>
                <w:rFonts w:ascii="Times New Roman" w:eastAsia="Times New Roman" w:hAnsi="Times New Roman" w:cs="Times New Roman"/>
                <w:b w:val="0"/>
                <w:i w:val="0"/>
                <w:color w:val="000000"/>
                <w:sz w:val="20"/>
                <w:u w:val="none"/>
              </w:rPr>
              <w:tab/>
              <w:t>60,000</w:t>
              <w:tab/>
            </w:r>
          </w:p>
        </w:tc>
      </w:tr>
      <w:tr>
        <w:tblPrEx>
          <w:tblW w:w="10230" w:type="dxa"/>
          <w:tblLayout w:type="fixed"/>
        </w:tblPrEx>
        <w:trPr>
          <w:trHeight w:hRule="exact" w:val="285"/>
        </w:trPr>
        <w:tc>
          <w:tcPr>
            <w:tcW w:w="319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Gross Notes Payable</w:t>
            </w:r>
          </w:p>
        </w:tc>
        <w:tc>
          <w:tcPr>
            <w:tcW w:w="169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69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72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042"/>
                <w:tab w:val="left" w:pos="1657"/>
              </w:tabs>
              <w:spacing w:before="33" w:after="30" w:line="240" w:lineRule="auto"/>
              <w:jc w:val="right"/>
            </w:pPr>
            <w:r>
              <w:rPr>
                <w:rFonts w:ascii="Times New Roman" w:eastAsia="Times New Roman" w:hAnsi="Times New Roman" w:cs="Times New Roman"/>
                <w:b w:val="0"/>
                <w:i w:val="0"/>
                <w:color w:val="000000"/>
                <w:sz w:val="20"/>
                <w:u w:val="none"/>
              </w:rPr>
              <w:t>$</w:t>
              <w:tab/>
              <w:t>66,811</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69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012"/>
                <w:tab w:val="left" w:pos="1627"/>
              </w:tabs>
              <w:spacing w:before="33" w:after="30" w:line="240" w:lineRule="auto"/>
              <w:jc w:val="right"/>
            </w:pPr>
            <w:r>
              <w:rPr>
                <w:rFonts w:ascii="Times New Roman" w:eastAsia="Times New Roman" w:hAnsi="Times New Roman" w:cs="Times New Roman"/>
                <w:b w:val="0"/>
                <w:i w:val="0"/>
                <w:color w:val="000000"/>
                <w:sz w:val="20"/>
                <w:u w:val="none"/>
              </w:rPr>
              <w:t>$</w:t>
              <w:tab/>
              <w:t>70,775</w:t>
              <w:tab/>
            </w:r>
          </w:p>
        </w:tc>
      </w:tr>
    </w:tbl>
    <w:p>
      <w:pPr>
        <w:keepNext w:val="0"/>
        <w:keepLines/>
        <w:pageBreakBefore w:val="0"/>
        <w:widowControl w:val="0"/>
        <w:numPr>
          <w:ilvl w:val="0"/>
          <w:numId w:val="15"/>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See Note 3 — Business Combinations and Asset Acquisitions and Notes Payable - Acquisitions section below for further discussion regarding the notes payable related to acquisitions.</w:t>
      </w:r>
    </w:p>
    <w:p>
      <w:pPr>
        <w:keepNext w:val="0"/>
        <w:keepLines/>
        <w:pageBreakBefore w:val="0"/>
        <w:widowControl w:val="0"/>
        <w:numPr>
          <w:ilvl w:val="0"/>
          <w:numId w:val="15"/>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See Note 12 - Subsequent Events for a discussion of the termination of our Senior Credit Facility, repayment of the amounts set forth in this table with respect to the Senior Credit Facility and our entry into a new senior credit agreement with MUFG, Ltd. and the lenders party thereto.</w:t>
      </w:r>
    </w:p>
    <w:p>
      <w:pPr>
        <w:keepNext w:val="0"/>
        <w:keepLines/>
        <w:pageBreakBefore w:val="0"/>
        <w:widowControl w:val="0"/>
        <w:numPr>
          <w:ilvl w:val="0"/>
          <w:numId w:val="0"/>
        </w:numPr>
        <w:spacing w:before="0" w:after="0" w:line="288" w:lineRule="auto"/>
        <w:ind w:left="0" w:right="0" w:hanging="360"/>
        <w:jc w:val="left"/>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following table summarizes the debt issuance costs as of the dates indicated (in thousands):</w:t>
      </w:r>
    </w:p>
    <w:tbl>
      <w:tblPr>
        <w:tblStyle w:val="TableNormal0"/>
        <w:tblW w:w="10065" w:type="dxa"/>
        <w:jc w:val="center"/>
        <w:tblLayout w:type="fixed"/>
      </w:tblPr>
      <w:tblGrid>
        <w:gridCol w:w="4200"/>
        <w:gridCol w:w="1905"/>
        <w:gridCol w:w="75"/>
        <w:gridCol w:w="1905"/>
        <w:gridCol w:w="75"/>
        <w:gridCol w:w="1905"/>
      </w:tblGrid>
      <w:tr>
        <w:tblPrEx>
          <w:tblW w:w="10065" w:type="dxa"/>
          <w:tblLayout w:type="fixed"/>
        </w:tblPrEx>
        <w:trPr>
          <w:trHeight w:hRule="exact" w:val="465"/>
        </w:trPr>
        <w:tc>
          <w:tcPr>
            <w:tcW w:w="42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19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Gross Notes Payable</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9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Debt Issuance Costs and Debt Discount</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9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Net Notes Payable</w:t>
            </w:r>
          </w:p>
        </w:tc>
      </w:tr>
      <w:tr>
        <w:tblPrEx>
          <w:tblW w:w="10065" w:type="dxa"/>
          <w:tblLayout w:type="fixed"/>
        </w:tblPrEx>
        <w:trPr>
          <w:trHeight w:hRule="exact" w:val="300"/>
        </w:trPr>
        <w:tc>
          <w:tcPr>
            <w:tcW w:w="42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i w:val="0"/>
                <w:color w:val="000000"/>
                <w:sz w:val="20"/>
                <w:u w:val="none"/>
              </w:rPr>
              <w:t>September 30, 2026</w:t>
            </w:r>
          </w:p>
        </w:tc>
        <w:tc>
          <w:tcPr>
            <w:tcW w:w="19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065" w:type="dxa"/>
          <w:tblLayout w:type="fixed"/>
        </w:tblPrEx>
        <w:trPr>
          <w:trHeight w:hRule="exact" w:val="300"/>
        </w:trPr>
        <w:tc>
          <w:tcPr>
            <w:tcW w:w="42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Current portion of notes payable</w:t>
            </w:r>
          </w:p>
        </w:tc>
        <w:tc>
          <w:tcPr>
            <w:tcW w:w="19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22"/>
                <w:tab w:val="left" w:pos="1837"/>
              </w:tabs>
              <w:spacing w:before="53" w:after="30" w:line="240" w:lineRule="auto"/>
              <w:jc w:val="right"/>
            </w:pPr>
            <w:r>
              <w:rPr>
                <w:rFonts w:ascii="Times New Roman" w:eastAsia="Times New Roman" w:hAnsi="Times New Roman" w:cs="Times New Roman"/>
                <w:b w:val="0"/>
                <w:i w:val="0"/>
                <w:color w:val="000000"/>
                <w:sz w:val="20"/>
                <w:u w:val="none"/>
              </w:rPr>
              <w:t>$</w:t>
              <w:tab/>
              <w:t>5,561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86"/>
              </w:tabs>
              <w:spacing w:before="53" w:after="30" w:line="240" w:lineRule="auto"/>
              <w:jc w:val="right"/>
            </w:pPr>
            <w:r>
              <w:rPr>
                <w:rFonts w:ascii="Times New Roman" w:eastAsia="Times New Roman" w:hAnsi="Times New Roman" w:cs="Times New Roman"/>
                <w:b w:val="0"/>
                <w:i w:val="0"/>
                <w:color w:val="000000"/>
                <w:sz w:val="20"/>
                <w:u w:val="none"/>
              </w:rPr>
              <w:t>$</w:t>
              <w:tab/>
              <w:t>(260)</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322"/>
                <w:tab w:val="left" w:pos="1837"/>
              </w:tabs>
              <w:spacing w:before="53" w:after="30" w:line="240" w:lineRule="auto"/>
              <w:jc w:val="right"/>
            </w:pPr>
            <w:r>
              <w:rPr>
                <w:rFonts w:ascii="Times New Roman" w:eastAsia="Times New Roman" w:hAnsi="Times New Roman" w:cs="Times New Roman"/>
                <w:b w:val="0"/>
                <w:i w:val="0"/>
                <w:color w:val="000000"/>
                <w:sz w:val="20"/>
                <w:u w:val="none"/>
              </w:rPr>
              <w:t>$</w:t>
              <w:tab/>
              <w:t>5,301</w:t>
              <w:tab/>
            </w:r>
          </w:p>
        </w:tc>
      </w:tr>
      <w:tr>
        <w:tblPrEx>
          <w:tblW w:w="10065" w:type="dxa"/>
          <w:tblLayout w:type="fixed"/>
        </w:tblPrEx>
        <w:trPr>
          <w:trHeight w:hRule="exact" w:val="300"/>
        </w:trPr>
        <w:tc>
          <w:tcPr>
            <w:tcW w:w="42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Notes payable, net of current portion</w:t>
            </w:r>
          </w:p>
        </w:tc>
        <w:tc>
          <w:tcPr>
            <w:tcW w:w="19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222"/>
                <w:tab w:val="left" w:pos="1837"/>
              </w:tabs>
              <w:spacing w:before="53" w:after="30" w:line="240" w:lineRule="auto"/>
              <w:jc w:val="right"/>
            </w:pPr>
            <w:r>
              <w:rPr>
                <w:rFonts w:ascii="Times New Roman" w:eastAsia="Times New Roman" w:hAnsi="Times New Roman" w:cs="Times New Roman"/>
                <w:b w:val="0"/>
                <w:i w:val="0"/>
                <w:color w:val="000000"/>
                <w:sz w:val="20"/>
                <w:u w:val="none"/>
              </w:rPr>
              <w:tab/>
              <w:t>61,250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236"/>
              </w:tabs>
              <w:spacing w:before="53" w:after="30" w:line="240" w:lineRule="auto"/>
              <w:jc w:val="right"/>
            </w:pPr>
            <w:r>
              <w:rPr>
                <w:rFonts w:ascii="Times New Roman" w:eastAsia="Times New Roman" w:hAnsi="Times New Roman" w:cs="Times New Roman"/>
                <w:b w:val="0"/>
                <w:i w:val="0"/>
                <w:color w:val="000000"/>
                <w:sz w:val="20"/>
                <w:u w:val="none"/>
              </w:rPr>
              <w:tab/>
              <w:t>(1,892)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1222"/>
                <w:tab w:val="left" w:pos="1837"/>
              </w:tabs>
              <w:spacing w:before="53" w:after="30" w:line="240" w:lineRule="auto"/>
              <w:jc w:val="right"/>
            </w:pPr>
            <w:r>
              <w:rPr>
                <w:rFonts w:ascii="Times New Roman" w:eastAsia="Times New Roman" w:hAnsi="Times New Roman" w:cs="Times New Roman"/>
                <w:b w:val="0"/>
                <w:i w:val="0"/>
                <w:color w:val="000000"/>
                <w:sz w:val="20"/>
                <w:u w:val="none"/>
              </w:rPr>
              <w:tab/>
              <w:t>59,358</w:t>
              <w:tab/>
            </w:r>
          </w:p>
        </w:tc>
      </w:tr>
      <w:tr>
        <w:tblPrEx>
          <w:tblW w:w="10065" w:type="dxa"/>
          <w:tblLayout w:type="fixed"/>
        </w:tblPrEx>
        <w:trPr>
          <w:trHeight w:hRule="exact" w:val="285"/>
        </w:trPr>
        <w:tc>
          <w:tcPr>
            <w:tcW w:w="42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9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1222"/>
                <w:tab w:val="left" w:pos="1837"/>
              </w:tabs>
              <w:spacing w:before="33" w:after="30" w:line="240" w:lineRule="auto"/>
              <w:jc w:val="right"/>
            </w:pPr>
            <w:r>
              <w:rPr>
                <w:rFonts w:ascii="Times New Roman" w:eastAsia="Times New Roman" w:hAnsi="Times New Roman" w:cs="Times New Roman"/>
                <w:b w:val="0"/>
                <w:i w:val="0"/>
                <w:color w:val="000000"/>
                <w:sz w:val="20"/>
                <w:u w:val="none"/>
              </w:rPr>
              <w:t>$</w:t>
              <w:tab/>
              <w:t>66,811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1236"/>
              </w:tabs>
              <w:spacing w:before="33" w:after="30" w:line="240" w:lineRule="auto"/>
              <w:jc w:val="right"/>
            </w:pPr>
            <w:r>
              <w:rPr>
                <w:rFonts w:ascii="Times New Roman" w:eastAsia="Times New Roman" w:hAnsi="Times New Roman" w:cs="Times New Roman"/>
                <w:b w:val="0"/>
                <w:i w:val="0"/>
                <w:color w:val="000000"/>
                <w:sz w:val="20"/>
                <w:u w:val="none"/>
              </w:rPr>
              <w:t>$</w:t>
              <w:tab/>
              <w:t>(2,152)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1222"/>
                <w:tab w:val="left" w:pos="1837"/>
              </w:tabs>
              <w:spacing w:before="33" w:after="30" w:line="240" w:lineRule="auto"/>
              <w:jc w:val="right"/>
            </w:pPr>
            <w:r>
              <w:rPr>
                <w:rFonts w:ascii="Times New Roman" w:eastAsia="Times New Roman" w:hAnsi="Times New Roman" w:cs="Times New Roman"/>
                <w:b w:val="0"/>
                <w:i w:val="0"/>
                <w:color w:val="000000"/>
                <w:sz w:val="20"/>
                <w:u w:val="none"/>
              </w:rPr>
              <w:t>$</w:t>
              <w:tab/>
              <w:t>64,659</w:t>
              <w:tab/>
            </w:r>
          </w:p>
        </w:tc>
      </w:tr>
      <w:tr>
        <w:tblPrEx>
          <w:tblW w:w="10065" w:type="dxa"/>
          <w:tblLayout w:type="fixed"/>
        </w:tblPrEx>
        <w:trPr>
          <w:trHeight w:hRule="exact" w:val="285"/>
        </w:trPr>
        <w:tc>
          <w:tcPr>
            <w:tcW w:w="420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065" w:type="dxa"/>
          <w:tblLayout w:type="fixed"/>
        </w:tblPrEx>
        <w:trPr>
          <w:trHeight w:hRule="exact" w:val="285"/>
        </w:trPr>
        <w:tc>
          <w:tcPr>
            <w:tcW w:w="42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December 31, 2025</w:t>
            </w:r>
          </w:p>
        </w:tc>
        <w:tc>
          <w:tcPr>
            <w:tcW w:w="19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065" w:type="dxa"/>
          <w:tblLayout w:type="fixed"/>
        </w:tblPrEx>
        <w:trPr>
          <w:trHeight w:hRule="exact" w:val="285"/>
        </w:trPr>
        <w:tc>
          <w:tcPr>
            <w:tcW w:w="420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Current portion of notes payable</w:t>
            </w:r>
          </w:p>
        </w:tc>
        <w:tc>
          <w:tcPr>
            <w:tcW w:w="19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22"/>
                <w:tab w:val="left" w:pos="1837"/>
              </w:tabs>
              <w:spacing w:before="53" w:after="30" w:line="240" w:lineRule="auto"/>
              <w:jc w:val="right"/>
            </w:pPr>
            <w:r>
              <w:rPr>
                <w:rFonts w:ascii="Times New Roman" w:eastAsia="Times New Roman" w:hAnsi="Times New Roman" w:cs="Times New Roman"/>
                <w:b w:val="0"/>
                <w:i w:val="0"/>
                <w:color w:val="000000"/>
                <w:sz w:val="20"/>
                <w:u w:val="none"/>
              </w:rPr>
              <w:t>$</w:t>
              <w:tab/>
              <w:t>4,834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86"/>
              </w:tabs>
              <w:spacing w:before="53" w:after="30" w:line="240" w:lineRule="auto"/>
              <w:jc w:val="right"/>
            </w:pPr>
            <w:r>
              <w:rPr>
                <w:rFonts w:ascii="Times New Roman" w:eastAsia="Times New Roman" w:hAnsi="Times New Roman" w:cs="Times New Roman"/>
                <w:b w:val="0"/>
                <w:i w:val="0"/>
                <w:color w:val="000000"/>
                <w:sz w:val="20"/>
                <w:u w:val="none"/>
              </w:rPr>
              <w:t>$</w:t>
              <w:tab/>
              <w:t>(490)</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22"/>
                <w:tab w:val="left" w:pos="1837"/>
              </w:tabs>
              <w:spacing w:before="53" w:after="30" w:line="240" w:lineRule="auto"/>
              <w:jc w:val="right"/>
            </w:pPr>
            <w:r>
              <w:rPr>
                <w:rFonts w:ascii="Times New Roman" w:eastAsia="Times New Roman" w:hAnsi="Times New Roman" w:cs="Times New Roman"/>
                <w:b w:val="0"/>
                <w:i w:val="0"/>
                <w:color w:val="000000"/>
                <w:sz w:val="20"/>
                <w:u w:val="none"/>
              </w:rPr>
              <w:t>$</w:t>
              <w:tab/>
              <w:t>4,344</w:t>
              <w:tab/>
            </w:r>
          </w:p>
        </w:tc>
      </w:tr>
      <w:tr>
        <w:tblPrEx>
          <w:tblW w:w="10065" w:type="dxa"/>
          <w:tblLayout w:type="fixed"/>
        </w:tblPrEx>
        <w:trPr>
          <w:trHeight w:hRule="exact" w:val="285"/>
        </w:trPr>
        <w:tc>
          <w:tcPr>
            <w:tcW w:w="420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Notes payable, net of current portion</w:t>
            </w:r>
          </w:p>
        </w:tc>
        <w:tc>
          <w:tcPr>
            <w:tcW w:w="19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222"/>
                <w:tab w:val="left" w:pos="1837"/>
              </w:tabs>
              <w:spacing w:before="53" w:after="30" w:line="240" w:lineRule="auto"/>
              <w:jc w:val="right"/>
            </w:pPr>
            <w:r>
              <w:rPr>
                <w:rFonts w:ascii="Times New Roman" w:eastAsia="Times New Roman" w:hAnsi="Times New Roman" w:cs="Times New Roman"/>
                <w:b w:val="0"/>
                <w:i w:val="0"/>
                <w:color w:val="000000"/>
                <w:sz w:val="20"/>
                <w:u w:val="none"/>
              </w:rPr>
              <w:tab/>
              <w:t>65,941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236"/>
              </w:tabs>
              <w:spacing w:before="53" w:after="30" w:line="240" w:lineRule="auto"/>
              <w:jc w:val="right"/>
            </w:pPr>
            <w:r>
              <w:rPr>
                <w:rFonts w:ascii="Times New Roman" w:eastAsia="Times New Roman" w:hAnsi="Times New Roman" w:cs="Times New Roman"/>
                <w:b w:val="0"/>
                <w:i w:val="0"/>
                <w:color w:val="000000"/>
                <w:sz w:val="20"/>
                <w:u w:val="none"/>
              </w:rPr>
              <w:tab/>
              <w:t>(2,659)</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9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222"/>
                <w:tab w:val="left" w:pos="1837"/>
              </w:tabs>
              <w:spacing w:before="53" w:after="30" w:line="240" w:lineRule="auto"/>
              <w:jc w:val="right"/>
            </w:pPr>
            <w:r>
              <w:rPr>
                <w:rFonts w:ascii="Times New Roman" w:eastAsia="Times New Roman" w:hAnsi="Times New Roman" w:cs="Times New Roman"/>
                <w:b w:val="0"/>
                <w:i w:val="0"/>
                <w:color w:val="000000"/>
                <w:sz w:val="20"/>
                <w:u w:val="none"/>
              </w:rPr>
              <w:tab/>
              <w:t>63,282</w:t>
              <w:tab/>
            </w:r>
          </w:p>
        </w:tc>
      </w:tr>
      <w:tr>
        <w:tblPrEx>
          <w:tblW w:w="10065" w:type="dxa"/>
          <w:tblLayout w:type="fixed"/>
        </w:tblPrEx>
        <w:trPr>
          <w:trHeight w:hRule="exact" w:val="285"/>
        </w:trPr>
        <w:tc>
          <w:tcPr>
            <w:tcW w:w="4200"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9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222"/>
                <w:tab w:val="left" w:pos="1837"/>
              </w:tabs>
              <w:spacing w:before="33" w:after="30" w:line="240" w:lineRule="auto"/>
              <w:jc w:val="right"/>
            </w:pPr>
            <w:r>
              <w:rPr>
                <w:rFonts w:ascii="Times New Roman" w:eastAsia="Times New Roman" w:hAnsi="Times New Roman" w:cs="Times New Roman"/>
                <w:b w:val="0"/>
                <w:i w:val="0"/>
                <w:color w:val="000000"/>
                <w:sz w:val="20"/>
                <w:u w:val="none"/>
              </w:rPr>
              <w:t>$</w:t>
              <w:tab/>
              <w:t>70,775</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9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236"/>
              </w:tabs>
              <w:spacing w:before="33" w:after="30" w:line="240" w:lineRule="auto"/>
              <w:jc w:val="right"/>
            </w:pPr>
            <w:r>
              <w:rPr>
                <w:rFonts w:ascii="Times New Roman" w:eastAsia="Times New Roman" w:hAnsi="Times New Roman" w:cs="Times New Roman"/>
                <w:b w:val="0"/>
                <w:i w:val="0"/>
                <w:color w:val="000000"/>
                <w:sz w:val="20"/>
                <w:u w:val="none"/>
              </w:rPr>
              <w:t>$</w:t>
              <w:tab/>
              <w:t>(3,149)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9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222"/>
                <w:tab w:val="left" w:pos="1837"/>
              </w:tabs>
              <w:spacing w:before="33" w:after="30" w:line="240" w:lineRule="auto"/>
              <w:jc w:val="right"/>
            </w:pPr>
            <w:r>
              <w:rPr>
                <w:rFonts w:ascii="Times New Roman" w:eastAsia="Times New Roman" w:hAnsi="Times New Roman" w:cs="Times New Roman"/>
                <w:b w:val="0"/>
                <w:i w:val="0"/>
                <w:color w:val="000000"/>
                <w:sz w:val="20"/>
                <w:u w:val="none"/>
              </w:rPr>
              <w:t>$</w:t>
              <w:tab/>
              <w:t>67,626</w:t>
              <w:tab/>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highlight w:val="white"/>
          <w:u w:val="none"/>
        </w:rPr>
        <w:t xml:space="preserve">The following table summarizes the future principal payments related to our outstanding debt </w:t>
      </w:r>
      <w:r>
        <w:rPr>
          <w:rFonts w:ascii="Times New Roman" w:eastAsia="Times New Roman" w:hAnsi="Times New Roman" w:cs="Times New Roman"/>
          <w:b w:val="0"/>
          <w:i w:val="0"/>
          <w:color w:val="000000"/>
          <w:sz w:val="20"/>
          <w:u w:val="none"/>
        </w:rPr>
        <w:t xml:space="preserve">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highlight w:val="white"/>
          <w:u w:val="none"/>
        </w:rPr>
        <w:t xml:space="preserve"> (in thousands):</w:t>
      </w:r>
    </w:p>
    <w:tbl>
      <w:tblPr>
        <w:tblStyle w:val="TableNormal0"/>
        <w:tblW w:w="6270" w:type="dxa"/>
        <w:jc w:val="center"/>
        <w:tblLayout w:type="fixed"/>
      </w:tblPr>
      <w:tblGrid>
        <w:gridCol w:w="4785"/>
        <w:gridCol w:w="1485"/>
      </w:tblGrid>
      <w:tr>
        <w:tblPrEx>
          <w:tblW w:w="6270" w:type="dxa"/>
          <w:tblLayout w:type="fixed"/>
        </w:tblPrEx>
        <w:trPr>
          <w:trHeight w:hRule="exact" w:val="300"/>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2026 (Remaining)</w:t>
            </w: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w:t>
              <w:tab/>
              <w:t>1,176</w:t>
              <w:tab/>
            </w:r>
          </w:p>
        </w:tc>
      </w:tr>
      <w:tr>
        <w:tblPrEx>
          <w:tblW w:w="6270" w:type="dxa"/>
          <w:tblLayout w:type="fixed"/>
        </w:tblPrEx>
        <w:trPr>
          <w:trHeight w:hRule="exact" w:val="300"/>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2027</w:t>
            </w: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02"/>
                <w:tab w:val="left" w:pos="1417"/>
              </w:tabs>
              <w:spacing w:before="53" w:after="30" w:line="240" w:lineRule="auto"/>
              <w:jc w:val="right"/>
            </w:pPr>
            <w:r>
              <w:rPr>
                <w:rFonts w:ascii="Times New Roman" w:eastAsia="Times New Roman" w:hAnsi="Times New Roman" w:cs="Times New Roman"/>
                <w:b w:val="0"/>
                <w:i w:val="0"/>
                <w:color w:val="000000"/>
                <w:sz w:val="20"/>
                <w:u w:val="none"/>
              </w:rPr>
              <w:tab/>
              <w:t>4,635</w:t>
              <w:tab/>
            </w:r>
          </w:p>
        </w:tc>
      </w:tr>
      <w:tr>
        <w:tblPrEx>
          <w:tblW w:w="627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2028</w:t>
            </w:r>
          </w:p>
        </w:tc>
        <w:tc>
          <w:tcPr>
            <w:tcW w:w="148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52"/>
                <w:tab w:val="left" w:pos="1417"/>
              </w:tabs>
              <w:spacing w:before="53" w:after="30" w:line="240" w:lineRule="auto"/>
              <w:jc w:val="right"/>
            </w:pPr>
            <w:r>
              <w:rPr>
                <w:rFonts w:ascii="Times New Roman" w:eastAsia="Times New Roman" w:hAnsi="Times New Roman" w:cs="Times New Roman"/>
                <w:b w:val="0"/>
                <w:i w:val="0"/>
                <w:color w:val="000000"/>
                <w:sz w:val="20"/>
                <w:u w:val="none"/>
              </w:rPr>
              <w:tab/>
              <w:t>—</w:t>
              <w:tab/>
            </w:r>
          </w:p>
        </w:tc>
      </w:tr>
      <w:tr>
        <w:tblPrEx>
          <w:tblW w:w="627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2029</w:t>
            </w:r>
          </w:p>
        </w:tc>
        <w:tc>
          <w:tcPr>
            <w:tcW w:w="148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46,000</w:t>
              <w:tab/>
            </w:r>
          </w:p>
        </w:tc>
      </w:tr>
      <w:tr>
        <w:tblPrEx>
          <w:tblW w:w="627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2030</w:t>
            </w:r>
          </w:p>
        </w:tc>
        <w:tc>
          <w:tcPr>
            <w:tcW w:w="148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802"/>
                <w:tab w:val="left" w:pos="1417"/>
              </w:tabs>
              <w:spacing w:before="53" w:after="30" w:line="240" w:lineRule="auto"/>
              <w:jc w:val="right"/>
            </w:pPr>
            <w:r>
              <w:rPr>
                <w:rFonts w:ascii="Times New Roman" w:eastAsia="Times New Roman" w:hAnsi="Times New Roman" w:cs="Times New Roman"/>
                <w:b w:val="0"/>
                <w:i w:val="0"/>
                <w:color w:val="000000"/>
                <w:sz w:val="20"/>
                <w:u w:val="none"/>
              </w:rPr>
              <w:tab/>
              <w:t>15,000</w:t>
              <w:tab/>
            </w:r>
          </w:p>
        </w:tc>
      </w:tr>
      <w:tr>
        <w:tblPrEx>
          <w:tblW w:w="627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48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802"/>
                <w:tab w:val="left" w:pos="1417"/>
              </w:tabs>
              <w:spacing w:before="33" w:after="30" w:line="240" w:lineRule="auto"/>
              <w:jc w:val="right"/>
            </w:pPr>
            <w:r>
              <w:rPr>
                <w:rFonts w:ascii="Times New Roman" w:eastAsia="Times New Roman" w:hAnsi="Times New Roman" w:cs="Times New Roman"/>
                <w:b w:val="0"/>
                <w:i w:val="0"/>
                <w:color w:val="000000"/>
                <w:sz w:val="20"/>
                <w:u w:val="none"/>
              </w:rPr>
              <w:t>$</w:t>
              <w:tab/>
              <w:t>66,811</w:t>
              <w:tab/>
            </w:r>
          </w:p>
        </w:tc>
      </w:tr>
    </w:tbl>
    <w:p>
      <w:pPr>
        <w:keepNext w:val="0"/>
        <w:keepLines/>
        <w:pageBreakBefore/>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color w:val="000000"/>
          <w:sz w:val="20"/>
          <w:highlight w:val="white"/>
          <w:u w:val="none"/>
        </w:rPr>
        <w:t>Notes Payable - Acquisitions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highlight w:val="white"/>
          <w:u w:val="none"/>
        </w:rPr>
      </w:pPr>
      <w:r>
        <w:rPr>
          <w:rFonts w:ascii="Times New Roman" w:eastAsia="Times New Roman" w:hAnsi="Times New Roman" w:cs="Times New Roman"/>
          <w:b w:val="0"/>
          <w:i w:val="0"/>
          <w:color w:val="000000"/>
          <w:sz w:val="20"/>
          <w:highlight w:val="white"/>
          <w:u w:val="none"/>
        </w:rPr>
        <w:t xml:space="preserve">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we have </w:t>
      </w:r>
      <w:r>
        <w:rPr>
          <w:rFonts w:ascii="Times New Roman" w:eastAsia="Times New Roman" w:hAnsi="Times New Roman" w:cs="Times New Roman"/>
          <w:b w:val="0"/>
          <w:i w:val="0"/>
          <w:color w:val="000000"/>
          <w:sz w:val="20"/>
          <w:u w:val="none"/>
        </w:rPr>
        <w:t>seven</w:t>
      </w:r>
      <w:r>
        <w:rPr>
          <w:rFonts w:ascii="Times New Roman" w:eastAsia="Times New Roman" w:hAnsi="Times New Roman" w:cs="Times New Roman"/>
          <w:b w:val="0"/>
          <w:i w:val="0"/>
          <w:color w:val="000000"/>
          <w:sz w:val="20"/>
          <w:u w:val="none"/>
        </w:rPr>
        <w:t xml:space="preserve"> promissory notes related to acquisitions that occurred during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color w:val="000000"/>
          <w:sz w:val="20"/>
          <w:u w:val="none"/>
        </w:rPr>
        <w:t xml:space="preserve">, and prior years with a combined outstanding principal balance of </w:t>
      </w:r>
      <w:r>
        <w:rPr>
          <w:rFonts w:ascii="Times New Roman" w:eastAsia="Times New Roman" w:hAnsi="Times New Roman" w:cs="Times New Roman"/>
          <w:b w:val="0"/>
          <w:i w:val="0"/>
          <w:color w:val="000000"/>
          <w:sz w:val="20"/>
          <w:u w:val="none"/>
        </w:rPr>
        <w:t>$6,811</w:t>
      </w:r>
      <w:r>
        <w:rPr>
          <w:rFonts w:ascii="Times New Roman" w:eastAsia="Times New Roman" w:hAnsi="Times New Roman" w:cs="Times New Roman"/>
          <w:b w:val="0"/>
          <w:i w:val="0"/>
          <w:color w:val="000000"/>
          <w:sz w:val="20"/>
          <w:u w:val="none"/>
        </w:rPr>
        <w:t xml:space="preserve"> and maturity dates ranging from </w:t>
      </w:r>
      <w:r>
        <w:rPr>
          <w:rFonts w:ascii="Times New Roman" w:eastAsia="Times New Roman" w:hAnsi="Times New Roman" w:cs="Times New Roman"/>
          <w:b w:val="0"/>
          <w:i w:val="0"/>
          <w:color w:val="000000"/>
          <w:sz w:val="20"/>
          <w:u w:val="none"/>
        </w:rPr>
        <w:t>November 1, 2026</w:t>
      </w:r>
      <w:r>
        <w:rPr>
          <w:rFonts w:ascii="Times New Roman" w:eastAsia="Times New Roman" w:hAnsi="Times New Roman" w:cs="Times New Roman"/>
          <w:b w:val="0"/>
          <w:i w:val="0"/>
          <w:color w:val="000000"/>
          <w:sz w:val="20"/>
          <w:u w:val="none"/>
        </w:rPr>
        <w:t xml:space="preserve">, to </w:t>
      </w:r>
      <w:r>
        <w:rPr>
          <w:rFonts w:ascii="Times New Roman" w:eastAsia="Times New Roman" w:hAnsi="Times New Roman" w:cs="Times New Roman"/>
          <w:b w:val="0"/>
          <w:i w:val="0"/>
          <w:color w:val="000000"/>
          <w:sz w:val="20"/>
          <w:u w:val="none"/>
        </w:rPr>
        <w:t>July 1, 2029</w:t>
      </w:r>
      <w:r>
        <w:rPr>
          <w:rFonts w:ascii="Times New Roman" w:eastAsia="Times New Roman" w:hAnsi="Times New Roman" w:cs="Times New Roman"/>
          <w:b w:val="0"/>
          <w:i w:val="0"/>
          <w:color w:val="000000"/>
          <w:sz w:val="20"/>
          <w:u w:val="none"/>
        </w:rPr>
        <w:t xml:space="preserve">. All of these promissory notes are subordinated to our Loan Agreement with MidCap (defined below). See Note 3 — </w:t>
      </w:r>
      <w:r>
        <w:rPr>
          <w:rFonts w:ascii="Times New Roman" w:eastAsia="Times New Roman" w:hAnsi="Times New Roman" w:cs="Times New Roman"/>
          <w:b w:val="0"/>
          <w:i/>
          <w:color w:val="000000"/>
          <w:sz w:val="20"/>
          <w:u w:val="none"/>
        </w:rPr>
        <w:t>Business Combinations and Asset Acquisitions</w:t>
      </w:r>
      <w:r>
        <w:rPr>
          <w:rFonts w:ascii="Times New Roman" w:eastAsia="Times New Roman" w:hAnsi="Times New Roman" w:cs="Times New Roman"/>
          <w:b w:val="0"/>
          <w:i w:val="0"/>
          <w:color w:val="000000"/>
          <w:sz w:val="20"/>
          <w:u w:val="none"/>
        </w:rPr>
        <w:t xml:space="preserve"> for further discussion regarding the issuance of notes payable related to acquisitions.</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On </w:t>
      </w:r>
      <w:r>
        <w:rPr>
          <w:rFonts w:ascii="Times New Roman" w:eastAsia="Times New Roman" w:hAnsi="Times New Roman" w:cs="Times New Roman"/>
          <w:b w:val="0"/>
          <w:i w:val="0"/>
          <w:color w:val="000000"/>
          <w:sz w:val="20"/>
          <w:u w:val="none"/>
        </w:rPr>
        <w:t>May 15, 2026</w:t>
      </w:r>
      <w:r>
        <w:rPr>
          <w:rFonts w:ascii="Times New Roman" w:eastAsia="Times New Roman" w:hAnsi="Times New Roman" w:cs="Times New Roman"/>
          <w:b w:val="0"/>
          <w:i w:val="0"/>
          <w:color w:val="000000"/>
          <w:sz w:val="20"/>
          <w:u w:val="none"/>
        </w:rPr>
        <w:t xml:space="preserve">, we came to an agreement with the seller of a prior asset acquisition to terminate the contingent consideration agreement associated with the transaction, determining the final purchase price of the acquisition as of that date. As a result of the termination, we determined that we were owed </w:t>
      </w:r>
      <w:r>
        <w:rPr>
          <w:rFonts w:ascii="Times New Roman" w:eastAsia="Times New Roman" w:hAnsi="Times New Roman" w:cs="Times New Roman"/>
          <w:b w:val="0"/>
          <w:i w:val="0"/>
          <w:color w:val="000000"/>
          <w:sz w:val="20"/>
          <w:u w:val="none"/>
        </w:rPr>
        <w:t>$306</w:t>
      </w:r>
      <w:r>
        <w:rPr>
          <w:rFonts w:ascii="Times New Roman" w:eastAsia="Times New Roman" w:hAnsi="Times New Roman" w:cs="Times New Roman"/>
          <w:b w:val="0"/>
          <w:i w:val="0"/>
          <w:color w:val="000000"/>
          <w:sz w:val="20"/>
          <w:u w:val="none"/>
        </w:rPr>
        <w:t xml:space="preserve"> from the seller, and the principal amount of the promissory note associated with the acquisition was reduced in accordance with the terms of the acquisition agreement.</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On </w:t>
      </w:r>
      <w:r>
        <w:rPr>
          <w:rFonts w:ascii="Times New Roman" w:eastAsia="Times New Roman" w:hAnsi="Times New Roman" w:cs="Times New Roman"/>
          <w:b w:val="0"/>
          <w:i w:val="0"/>
          <w:color w:val="000000"/>
          <w:sz w:val="20"/>
          <w:u w:val="none"/>
        </w:rPr>
        <w:t>October 30, 2025</w:t>
      </w:r>
      <w:r>
        <w:rPr>
          <w:rFonts w:ascii="Times New Roman" w:eastAsia="Times New Roman" w:hAnsi="Times New Roman" w:cs="Times New Roman"/>
          <w:b w:val="0"/>
          <w:i w:val="0"/>
          <w:color w:val="000000"/>
          <w:sz w:val="20"/>
          <w:u w:val="none"/>
        </w:rPr>
        <w:t xml:space="preserve">, we partially repaid the outstanding balance on one of our acquisition-related promissory notes through the issuance of shares of our common stock and cash payment of accrued interest. Prior to the transaction, the promissory note had an outstanding principal balance of </w:t>
      </w:r>
      <w:r>
        <w:rPr>
          <w:rFonts w:ascii="Times New Roman" w:eastAsia="Times New Roman" w:hAnsi="Times New Roman" w:cs="Times New Roman"/>
          <w:b w:val="0"/>
          <w:i w:val="0"/>
          <w:color w:val="000000"/>
          <w:sz w:val="20"/>
          <w:u w:val="none"/>
        </w:rPr>
        <w:t>$3,000</w:t>
      </w:r>
      <w:r>
        <w:rPr>
          <w:rFonts w:ascii="Times New Roman" w:eastAsia="Times New Roman" w:hAnsi="Times New Roman" w:cs="Times New Roman"/>
          <w:b w:val="0"/>
          <w:i w:val="0"/>
          <w:color w:val="000000"/>
          <w:sz w:val="20"/>
          <w:u w:val="none"/>
        </w:rPr>
        <w:t xml:space="preserve"> and would mature on </w:t>
      </w:r>
      <w:r>
        <w:rPr>
          <w:rFonts w:ascii="Times New Roman" w:eastAsia="Times New Roman" w:hAnsi="Times New Roman" w:cs="Times New Roman"/>
          <w:b w:val="0"/>
          <w:i w:val="0"/>
          <w:color w:val="000000"/>
          <w:sz w:val="20"/>
          <w:u w:val="none"/>
        </w:rPr>
        <w:t>July 1, 2029</w:t>
      </w:r>
      <w:r>
        <w:rPr>
          <w:rFonts w:ascii="Times New Roman" w:eastAsia="Times New Roman" w:hAnsi="Times New Roman" w:cs="Times New Roman"/>
          <w:b w:val="0"/>
          <w:i w:val="0"/>
          <w:color w:val="000000"/>
          <w:sz w:val="20"/>
          <w:u w:val="none"/>
        </w:rPr>
        <w:t xml:space="preserve">. In connection with the partial extinguishment, the holders of the promissory note agreed to reduce the principal balance of the portion of the note by </w:t>
      </w:r>
      <w:r>
        <w:rPr>
          <w:rFonts w:ascii="Times New Roman" w:eastAsia="Times New Roman" w:hAnsi="Times New Roman" w:cs="Times New Roman"/>
          <w:b w:val="0"/>
          <w:i w:val="0"/>
          <w:color w:val="000000"/>
          <w:sz w:val="20"/>
          <w:u w:val="none"/>
        </w:rPr>
        <w:t>$300</w:t>
      </w:r>
      <w:r>
        <w:rPr>
          <w:rFonts w:ascii="Times New Roman" w:eastAsia="Times New Roman" w:hAnsi="Times New Roman" w:cs="Times New Roman"/>
          <w:b w:val="0"/>
          <w:i w:val="0"/>
          <w:color w:val="000000"/>
          <w:sz w:val="20"/>
          <w:u w:val="none"/>
        </w:rPr>
        <w:t xml:space="preserve"> in consideration of the early repayment. The remaining </w:t>
      </w:r>
      <w:r>
        <w:rPr>
          <w:rFonts w:ascii="Times New Roman" w:eastAsia="Times New Roman" w:hAnsi="Times New Roman" w:cs="Times New Roman"/>
          <w:b w:val="0"/>
          <w:i w:val="0"/>
          <w:color w:val="000000"/>
          <w:sz w:val="20"/>
          <w:u w:val="none"/>
        </w:rPr>
        <w:t>$1,700</w:t>
      </w:r>
      <w:r>
        <w:rPr>
          <w:rFonts w:ascii="Times New Roman" w:eastAsia="Times New Roman" w:hAnsi="Times New Roman" w:cs="Times New Roman"/>
          <w:b w:val="0"/>
          <w:i w:val="0"/>
          <w:color w:val="000000"/>
          <w:sz w:val="20"/>
          <w:u w:val="none"/>
        </w:rPr>
        <w:t xml:space="preserve"> of principal was repaid with </w:t>
      </w:r>
      <w:r>
        <w:rPr>
          <w:rFonts w:ascii="Times New Roman" w:eastAsia="Times New Roman" w:hAnsi="Times New Roman" w:cs="Times New Roman"/>
          <w:b w:val="0"/>
          <w:i w:val="0"/>
          <w:color w:val="000000"/>
          <w:sz w:val="20"/>
          <w:u w:val="none"/>
        </w:rPr>
        <w:t>201</w:t>
      </w:r>
      <w:r>
        <w:rPr>
          <w:rFonts w:ascii="Times New Roman" w:eastAsia="Times New Roman" w:hAnsi="Times New Roman" w:cs="Times New Roman"/>
          <w:b w:val="0"/>
          <w:i w:val="0"/>
          <w:color w:val="000000"/>
          <w:sz w:val="20"/>
          <w:u w:val="none"/>
        </w:rPr>
        <w:t xml:space="preserve"> shares of common stock, having an estimated fair value of </w:t>
      </w:r>
      <w:r>
        <w:rPr>
          <w:rFonts w:ascii="Times New Roman" w:eastAsia="Times New Roman" w:hAnsi="Times New Roman" w:cs="Times New Roman"/>
          <w:b w:val="0"/>
          <w:i w:val="0"/>
          <w:color w:val="000000"/>
          <w:sz w:val="20"/>
          <w:u w:val="none"/>
        </w:rPr>
        <w:t>$1,511</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$20</w:t>
      </w:r>
      <w:r>
        <w:rPr>
          <w:rFonts w:ascii="Times New Roman" w:eastAsia="Times New Roman" w:hAnsi="Times New Roman" w:cs="Times New Roman"/>
          <w:b w:val="0"/>
          <w:i w:val="0"/>
          <w:color w:val="000000"/>
          <w:sz w:val="20"/>
          <w:u w:val="none"/>
        </w:rPr>
        <w:t xml:space="preserve"> of accrued interest was paid with cash. After the partial extinguishment, the outstanding principal balance of the note is </w:t>
      </w:r>
      <w:r>
        <w:rPr>
          <w:rFonts w:ascii="Times New Roman" w:eastAsia="Times New Roman" w:hAnsi="Times New Roman" w:cs="Times New Roman"/>
          <w:b w:val="0"/>
          <w:i w:val="0"/>
          <w:color w:val="000000"/>
          <w:sz w:val="20"/>
          <w:u w:val="none"/>
        </w:rPr>
        <w:t>$1,000</w:t>
      </w:r>
      <w:r>
        <w:rPr>
          <w:rFonts w:ascii="Times New Roman" w:eastAsia="Times New Roman" w:hAnsi="Times New Roman" w:cs="Times New Roman"/>
          <w:b w:val="0"/>
          <w:i w:val="0"/>
          <w:color w:val="000000"/>
          <w:sz w:val="20"/>
          <w:u w:val="none"/>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On </w:t>
      </w:r>
      <w:r>
        <w:rPr>
          <w:rFonts w:ascii="Times New Roman" w:eastAsia="Times New Roman" w:hAnsi="Times New Roman" w:cs="Times New Roman"/>
          <w:b w:val="0"/>
          <w:i w:val="0"/>
          <w:color w:val="000000"/>
          <w:sz w:val="20"/>
          <w:u w:val="none"/>
        </w:rPr>
        <w:t>August 13, 2025</w:t>
      </w:r>
      <w:r>
        <w:rPr>
          <w:rFonts w:ascii="Times New Roman" w:eastAsia="Times New Roman" w:hAnsi="Times New Roman" w:cs="Times New Roman"/>
          <w:b w:val="0"/>
          <w:i w:val="0"/>
          <w:color w:val="000000"/>
          <w:sz w:val="20"/>
          <w:u w:val="none"/>
        </w:rPr>
        <w:t xml:space="preserve">, we prepaid the outstanding balance on one of our acquisition-related promissory notes through the issuance of shares of our common stock. Prior to extinguishment, the promissory note had an outstanding principal balance of </w:t>
      </w:r>
      <w:r>
        <w:rPr>
          <w:rFonts w:ascii="Times New Roman" w:eastAsia="Times New Roman" w:hAnsi="Times New Roman" w:cs="Times New Roman"/>
          <w:b w:val="0"/>
          <w:i w:val="0"/>
          <w:color w:val="000000"/>
          <w:sz w:val="20"/>
          <w:u w:val="none"/>
        </w:rPr>
        <w:t>$1,000</w:t>
      </w:r>
      <w:r>
        <w:rPr>
          <w:rFonts w:ascii="Times New Roman" w:eastAsia="Times New Roman" w:hAnsi="Times New Roman" w:cs="Times New Roman"/>
          <w:b w:val="0"/>
          <w:i w:val="0"/>
          <w:color w:val="000000"/>
          <w:sz w:val="20"/>
          <w:u w:val="none"/>
        </w:rPr>
        <w:t xml:space="preserve"> and would mature on </w:t>
      </w:r>
      <w:r>
        <w:rPr>
          <w:rFonts w:ascii="Times New Roman" w:eastAsia="Times New Roman" w:hAnsi="Times New Roman" w:cs="Times New Roman"/>
          <w:b w:val="0"/>
          <w:i w:val="0"/>
          <w:color w:val="000000"/>
          <w:sz w:val="20"/>
          <w:u w:val="none"/>
        </w:rPr>
        <w:t>February 22, 2026</w:t>
      </w:r>
      <w:r>
        <w:rPr>
          <w:rFonts w:ascii="Times New Roman" w:eastAsia="Times New Roman" w:hAnsi="Times New Roman" w:cs="Times New Roman"/>
          <w:b w:val="0"/>
          <w:i w:val="0"/>
          <w:color w:val="000000"/>
          <w:sz w:val="20"/>
          <w:u w:val="none"/>
        </w:rPr>
        <w:t xml:space="preserve">. In connection with the extinguishment, the principal balance of the note was reduced by </w:t>
      </w:r>
      <w:r>
        <w:rPr>
          <w:rFonts w:ascii="Times New Roman" w:eastAsia="Times New Roman" w:hAnsi="Times New Roman" w:cs="Times New Roman"/>
          <w:b w:val="0"/>
          <w:i w:val="0"/>
          <w:color w:val="000000"/>
          <w:sz w:val="20"/>
          <w:u w:val="none"/>
        </w:rPr>
        <w:t>$118</w:t>
      </w:r>
      <w:r>
        <w:rPr>
          <w:rFonts w:ascii="Times New Roman" w:eastAsia="Times New Roman" w:hAnsi="Times New Roman" w:cs="Times New Roman"/>
          <w:b w:val="0"/>
          <w:i w:val="0"/>
          <w:color w:val="000000"/>
          <w:sz w:val="20"/>
          <w:u w:val="none"/>
        </w:rPr>
        <w:t xml:space="preserve"> for indemnifiable claims related to the acquisition. The remaining </w:t>
      </w:r>
      <w:r>
        <w:rPr>
          <w:rFonts w:ascii="Times New Roman" w:eastAsia="Times New Roman" w:hAnsi="Times New Roman" w:cs="Times New Roman"/>
          <w:b w:val="0"/>
          <w:i w:val="0"/>
          <w:color w:val="000000"/>
          <w:sz w:val="20"/>
          <w:u w:val="none"/>
        </w:rPr>
        <w:t>$956</w:t>
      </w:r>
      <w:r>
        <w:rPr>
          <w:rFonts w:ascii="Times New Roman" w:eastAsia="Times New Roman" w:hAnsi="Times New Roman" w:cs="Times New Roman"/>
          <w:b w:val="0"/>
          <w:i w:val="0"/>
          <w:color w:val="000000"/>
          <w:sz w:val="20"/>
          <w:u w:val="none"/>
        </w:rPr>
        <w:t xml:space="preserve"> of principal and accrued interest was repaid with </w:t>
      </w:r>
      <w:r>
        <w:rPr>
          <w:rFonts w:ascii="Times New Roman" w:eastAsia="Times New Roman" w:hAnsi="Times New Roman" w:cs="Times New Roman"/>
          <w:b w:val="0"/>
          <w:i w:val="0"/>
          <w:color w:val="000000"/>
          <w:sz w:val="20"/>
          <w:u w:val="none"/>
        </w:rPr>
        <w:t>91</w:t>
      </w:r>
      <w:r>
        <w:rPr>
          <w:rFonts w:ascii="Times New Roman" w:eastAsia="Times New Roman" w:hAnsi="Times New Roman" w:cs="Times New Roman"/>
          <w:b w:val="0"/>
          <w:i w:val="0"/>
          <w:color w:val="000000"/>
          <w:sz w:val="20"/>
          <w:u w:val="none"/>
        </w:rPr>
        <w:t xml:space="preserve"> shares of common stock, having a fair value of </w:t>
      </w:r>
      <w:r>
        <w:rPr>
          <w:rFonts w:ascii="Times New Roman" w:eastAsia="Times New Roman" w:hAnsi="Times New Roman" w:cs="Times New Roman"/>
          <w:b w:val="0"/>
          <w:i w:val="0"/>
          <w:color w:val="000000"/>
          <w:sz w:val="20"/>
          <w:u w:val="none"/>
        </w:rPr>
        <w:t>$701</w:t>
      </w:r>
      <w:r>
        <w:rPr>
          <w:rFonts w:ascii="Times New Roman" w:eastAsia="Times New Roman" w:hAnsi="Times New Roman" w:cs="Times New Roman"/>
          <w:b w:val="0"/>
          <w:i w:val="0"/>
          <w:color w:val="000000"/>
          <w:sz w:val="20"/>
          <w:u w:val="none"/>
        </w:rPr>
        <w:t>.</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u w:val="none"/>
        </w:rPr>
      </w:pPr>
      <w:r>
        <w:rPr>
          <w:rFonts w:ascii="Times New Roman" w:eastAsia="Times New Roman" w:hAnsi="Times New Roman" w:cs="Times New Roman"/>
          <w:b w:val="0"/>
          <w:i/>
          <w:color w:val="000000"/>
          <w:sz w:val="20"/>
          <w:u w:val="none"/>
        </w:rPr>
        <w:t>Notes Payable - Senior Credit Facility</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u w:val="none"/>
        </w:rPr>
        <w:t xml:space="preserve">On April 10, 2025, we entered into a Loan Agreement with MidCap and the lenders from time to time party thereto (such lenders collectively with MidCap, the “Lenders”). Under the Loan Agreement, we may borrow up to </w:t>
      </w:r>
      <w:r>
        <w:rPr>
          <w:rFonts w:ascii="Times New Roman" w:eastAsia="Times New Roman" w:hAnsi="Times New Roman" w:cs="Times New Roman"/>
          <w:b w:val="0"/>
          <w:i w:val="0"/>
          <w:color w:val="000000"/>
          <w:sz w:val="20"/>
          <w:u w:val="none"/>
        </w:rPr>
        <w:t>$60,000</w:t>
      </w:r>
      <w:r>
        <w:rPr>
          <w:rFonts w:ascii="Times New Roman" w:eastAsia="Times New Roman" w:hAnsi="Times New Roman" w:cs="Times New Roman"/>
          <w:b w:val="0"/>
          <w:i w:val="0"/>
          <w:color w:val="000000"/>
          <w:sz w:val="20"/>
          <w:u w:val="none"/>
        </w:rPr>
        <w:t xml:space="preserve"> from the Lenders, all of which has been funded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The maturity date of the loan as provided under the Loan Agreement is April 1, 2030 (the “Maturity Date”).</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Interest on the outstanding loan balance is payable monthly in arrears at an annual rate of Term Secured Overnight Financing Rate (“SOFR”) plus </w:t>
      </w:r>
      <w:r>
        <w:rPr>
          <w:rFonts w:ascii="Times New Roman" w:eastAsia="Times New Roman" w:hAnsi="Times New Roman" w:cs="Times New Roman"/>
          <w:b w:val="0"/>
          <w:i w:val="0"/>
          <w:color w:val="000000"/>
          <w:sz w:val="20"/>
          <w:u w:val="none"/>
        </w:rPr>
        <w:t>5.00%</w:t>
      </w:r>
      <w:r>
        <w:rPr>
          <w:rFonts w:ascii="Times New Roman" w:eastAsia="Times New Roman" w:hAnsi="Times New Roman" w:cs="Times New Roman"/>
          <w:b w:val="0"/>
          <w:i w:val="0"/>
          <w:color w:val="000000"/>
          <w:sz w:val="20"/>
          <w:u w:val="none"/>
        </w:rPr>
        <w:t xml:space="preserve">, subject to a SOFR floor of </w:t>
      </w:r>
      <w:r>
        <w:rPr>
          <w:rFonts w:ascii="Times New Roman" w:eastAsia="Times New Roman" w:hAnsi="Times New Roman" w:cs="Times New Roman"/>
          <w:b w:val="0"/>
          <w:i w:val="0"/>
          <w:color w:val="000000"/>
          <w:sz w:val="20"/>
          <w:u w:val="none"/>
        </w:rPr>
        <w:t>2.00%</w:t>
      </w:r>
      <w:r>
        <w:rPr>
          <w:rFonts w:ascii="Times New Roman" w:eastAsia="Times New Roman" w:hAnsi="Times New Roman" w:cs="Times New Roman"/>
          <w:b w:val="0"/>
          <w:i w:val="0"/>
          <w:color w:val="000000"/>
          <w:sz w:val="20"/>
          <w:u w:val="none"/>
        </w:rPr>
        <w:t xml:space="preserve">. This rate was </w:t>
      </w:r>
      <w:r>
        <w:rPr>
          <w:rFonts w:ascii="Times New Roman" w:eastAsia="Times New Roman" w:hAnsi="Times New Roman" w:cs="Times New Roman"/>
          <w:b w:val="0"/>
          <w:i w:val="0"/>
          <w:color w:val="000000"/>
          <w:sz w:val="20"/>
          <w:u w:val="none"/>
        </w:rPr>
        <w:t>8.81%</w:t>
      </w:r>
      <w:r>
        <w:rPr>
          <w:rFonts w:ascii="Times New Roman" w:eastAsia="Times New Roman" w:hAnsi="Times New Roman" w:cs="Times New Roman"/>
          <w:b w:val="0"/>
          <w:i w:val="0"/>
          <w:color w:val="000000"/>
          <w:sz w:val="20"/>
          <w:u w:val="none"/>
        </w:rPr>
        <w:t xml:space="preserve">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Prior to April 1, 2029 (the “Amortization Start Date”), we must make interest-only payments on the outstanding loan balance. Commencing on the Amortization Start Date and continuing on the first day of each calendar month thereafter, we will pay an amount equal to the total principal of the outstanding loan balance divided by twelve (</w:t>
      </w:r>
      <w:r>
        <w:rPr>
          <w:rFonts w:ascii="Times New Roman" w:eastAsia="Times New Roman" w:hAnsi="Times New Roman" w:cs="Times New Roman"/>
          <w:b w:val="0"/>
          <w:i w:val="0"/>
          <w:color w:val="000000"/>
          <w:sz w:val="20"/>
          <w:u w:val="none"/>
        </w:rPr>
        <w:t>12</w:t>
      </w:r>
      <w:r>
        <w:rPr>
          <w:rFonts w:ascii="Times New Roman" w:eastAsia="Times New Roman" w:hAnsi="Times New Roman" w:cs="Times New Roman"/>
          <w:b w:val="0"/>
          <w:i w:val="0"/>
          <w:color w:val="000000"/>
          <w:sz w:val="20"/>
          <w:u w:val="none"/>
        </w:rPr>
        <w:t>), for a twelve (</w:t>
      </w:r>
      <w:r>
        <w:rPr>
          <w:rFonts w:ascii="Times New Roman" w:eastAsia="Times New Roman" w:hAnsi="Times New Roman" w:cs="Times New Roman"/>
          <w:b w:val="0"/>
          <w:i w:val="0"/>
          <w:color w:val="000000"/>
          <w:sz w:val="20"/>
          <w:u w:val="none"/>
        </w:rPr>
        <w:t>12</w:t>
      </w:r>
      <w:r>
        <w:rPr>
          <w:rFonts w:ascii="Times New Roman" w:eastAsia="Times New Roman" w:hAnsi="Times New Roman" w:cs="Times New Roman"/>
          <w:b w:val="0"/>
          <w:i w:val="0"/>
          <w:color w:val="000000"/>
          <w:sz w:val="20"/>
          <w:u w:val="none"/>
        </w:rPr>
        <w:t xml:space="preserve">) month straight-line amortization of equal monthly principal payments. Also on a monthly basis, we must pay an administrative agency fee to MidCap equal to </w:t>
      </w:r>
      <w:r>
        <w:rPr>
          <w:rFonts w:ascii="Times New Roman" w:eastAsia="Times New Roman" w:hAnsi="Times New Roman" w:cs="Times New Roman"/>
          <w:b w:val="0"/>
          <w:i w:val="0"/>
          <w:color w:val="000000"/>
          <w:sz w:val="20"/>
          <w:u w:val="none"/>
        </w:rPr>
        <w:t>0.25%</w:t>
      </w:r>
      <w:r>
        <w:rPr>
          <w:rFonts w:ascii="Times New Roman" w:eastAsia="Times New Roman" w:hAnsi="Times New Roman" w:cs="Times New Roman"/>
          <w:b w:val="0"/>
          <w:i w:val="0"/>
          <w:color w:val="000000"/>
          <w:sz w:val="20"/>
          <w:u w:val="none"/>
        </w:rPr>
        <w:t xml:space="preserve"> of the average end-of-day principal balance outstanding during the immediately preceding month. At the time of final payment under the loan, we will provide a final payment fee of </w:t>
      </w:r>
      <w:r>
        <w:rPr>
          <w:rFonts w:ascii="Times New Roman" w:eastAsia="Times New Roman" w:hAnsi="Times New Roman" w:cs="Times New Roman"/>
          <w:b w:val="0"/>
          <w:i w:val="0"/>
          <w:color w:val="000000"/>
          <w:sz w:val="20"/>
          <w:u w:val="none"/>
        </w:rPr>
        <w:t>2.00%</w:t>
      </w:r>
      <w:r>
        <w:rPr>
          <w:rFonts w:ascii="Times New Roman" w:eastAsia="Times New Roman" w:hAnsi="Times New Roman" w:cs="Times New Roman"/>
          <w:b w:val="0"/>
          <w:i w:val="0"/>
          <w:color w:val="000000"/>
          <w:sz w:val="20"/>
          <w:u w:val="none"/>
        </w:rPr>
        <w:t xml:space="preserve"> of the amount advanced thereunder except in the case of a refinance of the loan with MidCap and the Lenders.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We are subject to customary events of default as described in the Loan Agreement. In such event, and for so long as it continues, the outstanding loan balance will bear interest at </w:t>
      </w:r>
      <w:r>
        <w:rPr>
          <w:rFonts w:ascii="Times New Roman" w:eastAsia="Times New Roman" w:hAnsi="Times New Roman" w:cs="Times New Roman"/>
          <w:b w:val="0"/>
          <w:i w:val="0"/>
          <w:color w:val="000000"/>
          <w:sz w:val="20"/>
          <w:u w:val="none"/>
        </w:rPr>
        <w:t>2.00%</w:t>
      </w:r>
      <w:r>
        <w:rPr>
          <w:rFonts w:ascii="Times New Roman" w:eastAsia="Times New Roman" w:hAnsi="Times New Roman" w:cs="Times New Roman"/>
          <w:b w:val="0"/>
          <w:i w:val="0"/>
          <w:color w:val="000000"/>
          <w:sz w:val="20"/>
          <w:u w:val="none"/>
        </w:rPr>
        <w:t xml:space="preserve"> per annum in excess of the rate otherwise payable. Under the Loan Agreement, we covenant to maintain a (1) Total Leverage Ratio (as defined in the Loan Agreement), as tested quarterly, no greater than </w:t>
      </w:r>
      <w:r>
        <w:rPr>
          <w:rFonts w:ascii="Times New Roman" w:eastAsia="Times New Roman" w:hAnsi="Times New Roman" w:cs="Times New Roman"/>
          <w:b w:val="0"/>
          <w:i w:val="0"/>
          <w:color w:val="000000"/>
          <w:sz w:val="20"/>
          <w:u w:val="none"/>
        </w:rPr>
        <w:t>5.50</w:t>
      </w:r>
      <w:r>
        <w:rPr>
          <w:rFonts w:ascii="Times New Roman" w:eastAsia="Times New Roman" w:hAnsi="Times New Roman" w:cs="Times New Roman"/>
          <w:b w:val="0"/>
          <w:i w:val="0"/>
          <w:color w:val="000000"/>
          <w:sz w:val="20"/>
          <w:u w:val="none"/>
        </w:rPr>
        <w:t xml:space="preserve"> to 1.00, and (2) minimum liquidity threshold of </w:t>
      </w:r>
      <w:r>
        <w:rPr>
          <w:rFonts w:ascii="Times New Roman" w:eastAsia="Times New Roman" w:hAnsi="Times New Roman" w:cs="Times New Roman"/>
          <w:b w:val="0"/>
          <w:i w:val="0"/>
          <w:color w:val="000000"/>
          <w:sz w:val="20"/>
          <w:u w:val="none"/>
        </w:rPr>
        <w:t>$10,000</w:t>
      </w:r>
      <w:r>
        <w:rPr>
          <w:rFonts w:ascii="Times New Roman" w:eastAsia="Times New Roman" w:hAnsi="Times New Roman" w:cs="Times New Roman"/>
          <w:b w:val="0"/>
          <w:i w:val="0"/>
          <w:color w:val="000000"/>
          <w:sz w:val="20"/>
          <w:u w:val="none"/>
        </w:rPr>
        <w:t xml:space="preserve">.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we are in compliance with all covenants under the Loan Agreement. </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In connection with the Loan Agreement and subsequent draw, we incurred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 xml:space="preserve"> of origination, legal, and other fees that represent debt financing costs to be deferred and amortized over the duration of the Loan Agreement. As a result, net proceeds of all borrowings under the Loan Agreement were </w:t>
      </w:r>
      <w:r>
        <w:rPr>
          <w:rFonts w:ascii="Times New Roman" w:eastAsia="Times New Roman" w:hAnsi="Times New Roman" w:cs="Times New Roman"/>
          <w:b w:val="0"/>
          <w:i w:val="0"/>
          <w:color w:val="000000"/>
          <w:sz w:val="20"/>
          <w:u w:val="none"/>
        </w:rPr>
        <w:t>$57,975</w:t>
      </w:r>
      <w:r>
        <w:rPr>
          <w:rFonts w:ascii="Times New Roman" w:eastAsia="Times New Roman" w:hAnsi="Times New Roman" w:cs="Times New Roman"/>
          <w:b w:val="0"/>
          <w:i w:val="0"/>
          <w:color w:val="000000"/>
          <w:sz w:val="20"/>
          <w:u w:val="none"/>
        </w:rPr>
        <w:t>. On October 15, 2026, we extinguished this debt using the proceeds of a new credit facility. See Note 12 - Subsequent Events for the details of the extinguishment of this note after the reporting period.</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3"/>
        <w:rPr>
          <w:rFonts w:ascii="Times New Roman" w:eastAsia="Times New Roman" w:hAnsi="Times New Roman" w:cs="Times New Roman"/>
          <w:b/>
          <w:i w:val="0"/>
          <w:sz w:val="20"/>
        </w:rPr>
      </w:pPr>
      <w:bookmarkStart w:id="15" w:name="Section16"/>
      <w:bookmarkEnd w:id="15"/>
      <w:r>
        <w:rPr>
          <w:rFonts w:ascii="Times New Roman" w:eastAsia="Times New Roman" w:hAnsi="Times New Roman" w:cs="Times New Roman"/>
          <w:b/>
          <w:i w:val="0"/>
          <w:color w:val="000000"/>
          <w:sz w:val="20"/>
          <w:highlight w:val="white"/>
          <w:u w:val="none"/>
        </w:rPr>
        <w:t xml:space="preserve">NOTE 7 </w:t>
      </w:r>
      <w:r>
        <w:rPr>
          <w:rFonts w:ascii="Times New Roman" w:eastAsia="Times New Roman" w:hAnsi="Times New Roman" w:cs="Times New Roman"/>
          <w:b w:val="0"/>
          <w:i w:val="0"/>
          <w:color w:val="000000"/>
          <w:sz w:val="20"/>
          <w:highlight w:val="white"/>
          <w:u w:val="none"/>
        </w:rPr>
        <w:t>–</w:t>
      </w:r>
      <w:r>
        <w:rPr>
          <w:rFonts w:ascii="Times New Roman" w:eastAsia="Times New Roman" w:hAnsi="Times New Roman" w:cs="Times New Roman"/>
          <w:b/>
          <w:i w:val="0"/>
          <w:color w:val="000000"/>
          <w:sz w:val="20"/>
          <w:highlight w:val="white"/>
          <w:u w:val="none"/>
        </w:rPr>
        <w:t xml:space="preserve"> </w:t>
      </w:r>
      <w:r>
        <w:rPr>
          <w:rFonts w:ascii="Times New Roman" w:eastAsia="Times New Roman" w:hAnsi="Times New Roman" w:cs="Times New Roman"/>
          <w:b/>
          <w:i w:val="0"/>
          <w:color w:val="000000"/>
          <w:sz w:val="20"/>
          <w:highlight w:val="white"/>
          <w:u w:val="none"/>
        </w:rPr>
        <w:t>CONTRACTS WITH CUSTOMERS AND REVENUE CONCENTRATION</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u w:val="none"/>
        </w:rPr>
      </w:pPr>
      <w:r>
        <w:rPr>
          <w:rFonts w:ascii="Times New Roman" w:eastAsia="Times New Roman" w:hAnsi="Times New Roman" w:cs="Times New Roman"/>
          <w:b/>
          <w:i/>
          <w:color w:val="000000"/>
          <w:sz w:val="20"/>
          <w:u w:val="none"/>
        </w:rPr>
        <w:t>Receivables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Receivables from contracts with customers, net of allowance for credit losses</w:t>
      </w:r>
      <w:r>
        <w:rPr>
          <w:rFonts w:ascii="Times New Roman" w:eastAsia="Times New Roman" w:hAnsi="Times New Roman" w:cs="Times New Roman"/>
          <w:b w:val="0"/>
          <w:i w:val="0"/>
          <w:color w:val="000000"/>
          <w:sz w:val="20"/>
          <w:highlight w:val="white"/>
          <w:u w:val="none"/>
        </w:rPr>
        <w:t xml:space="preserve"> of </w:t>
      </w:r>
      <w:r>
        <w:rPr>
          <w:rFonts w:ascii="Times New Roman" w:eastAsia="Times New Roman" w:hAnsi="Times New Roman" w:cs="Times New Roman"/>
          <w:b w:val="0"/>
          <w:i w:val="0"/>
          <w:color w:val="000000"/>
          <w:sz w:val="20"/>
          <w:highlight w:val="white"/>
          <w:u w:val="none"/>
        </w:rPr>
        <w:t>$8,716</w:t>
      </w:r>
      <w:r>
        <w:rPr>
          <w:rFonts w:ascii="Times New Roman" w:eastAsia="Times New Roman" w:hAnsi="Times New Roman" w:cs="Times New Roman"/>
          <w:b w:val="0"/>
          <w:i w:val="0"/>
          <w:color w:val="000000"/>
          <w:sz w:val="20"/>
          <w:highlight w:val="white"/>
          <w:u w:val="none"/>
        </w:rPr>
        <w:t>, w</w:t>
      </w:r>
      <w:r>
        <w:rPr>
          <w:rFonts w:ascii="Times New Roman" w:eastAsia="Times New Roman" w:hAnsi="Times New Roman" w:cs="Times New Roman"/>
          <w:b w:val="0"/>
          <w:i w:val="0"/>
          <w:color w:val="000000"/>
          <w:sz w:val="20"/>
          <w:u w:val="none"/>
        </w:rPr>
        <w:t>ere $</w:t>
      </w:r>
      <w:r>
        <w:rPr>
          <w:rFonts w:ascii="Times New Roman" w:eastAsia="Times New Roman" w:hAnsi="Times New Roman" w:cs="Times New Roman"/>
          <w:b w:val="0"/>
          <w:i w:val="0"/>
          <w:color w:val="000000"/>
          <w:sz w:val="20"/>
          <w:u w:val="none"/>
        </w:rPr>
        <w:t>12,830</w:t>
      </w:r>
      <w:r>
        <w:rPr>
          <w:rFonts w:ascii="Times New Roman" w:eastAsia="Times New Roman" w:hAnsi="Times New Roman" w:cs="Times New Roman"/>
          <w:b w:val="0"/>
          <w:i w:val="0"/>
          <w:color w:val="000000"/>
          <w:sz w:val="20"/>
          <w:u w:val="none"/>
        </w:rPr>
        <w:t xml:space="preserve"> at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Receivables from contracts with customers, net of allowance for credit losses of </w:t>
      </w:r>
      <w:r>
        <w:rPr>
          <w:rFonts w:ascii="Times New Roman" w:eastAsia="Times New Roman" w:hAnsi="Times New Roman" w:cs="Times New Roman"/>
          <w:b w:val="0"/>
          <w:i w:val="0"/>
          <w:color w:val="000000"/>
          <w:sz w:val="20"/>
          <w:u w:val="none"/>
        </w:rPr>
        <w:t>$7,206</w:t>
      </w:r>
      <w:r>
        <w:rPr>
          <w:rFonts w:ascii="Times New Roman" w:eastAsia="Times New Roman" w:hAnsi="Times New Roman" w:cs="Times New Roman"/>
          <w:b w:val="0"/>
          <w:i w:val="0"/>
          <w:color w:val="000000"/>
          <w:sz w:val="20"/>
          <w:u w:val="none"/>
        </w:rPr>
        <w:t>, were $</w:t>
      </w:r>
      <w:r>
        <w:rPr>
          <w:rFonts w:ascii="Times New Roman" w:eastAsia="Times New Roman" w:hAnsi="Times New Roman" w:cs="Times New Roman"/>
          <w:b w:val="0"/>
          <w:i w:val="0"/>
          <w:color w:val="000000"/>
          <w:sz w:val="20"/>
          <w:u w:val="none"/>
        </w:rPr>
        <w:t>15,859</w:t>
      </w:r>
      <w:r>
        <w:rPr>
          <w:rFonts w:ascii="Times New Roman" w:eastAsia="Times New Roman" w:hAnsi="Times New Roman" w:cs="Times New Roman"/>
          <w:b w:val="0"/>
          <w:i w:val="0"/>
          <w:color w:val="000000"/>
          <w:sz w:val="20"/>
          <w:u w:val="none"/>
        </w:rPr>
        <w:t xml:space="preserve"> at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color w:val="000000"/>
          <w:sz w:val="20"/>
          <w:u w:val="none"/>
        </w:rPr>
        <w:t xml:space="preserve">. We had a provision for expected losses of </w:t>
      </w:r>
      <w:r>
        <w:rPr>
          <w:rFonts w:ascii="Times New Roman" w:eastAsia="Times New Roman" w:hAnsi="Times New Roman" w:cs="Times New Roman"/>
          <w:b w:val="0"/>
          <w:i w:val="0"/>
          <w:color w:val="000000"/>
          <w:sz w:val="20"/>
          <w:u w:val="none"/>
        </w:rPr>
        <w:t>$115</w:t>
      </w:r>
      <w:r>
        <w:rPr>
          <w:rFonts w:ascii="Times New Roman" w:eastAsia="Times New Roman" w:hAnsi="Times New Roman" w:cs="Times New Roman"/>
          <w:b w:val="0"/>
          <w:i w:val="0"/>
          <w:color w:val="000000"/>
          <w:sz w:val="20"/>
          <w:u w:val="none"/>
        </w:rPr>
        <w:t xml:space="preserve">, write-offs charged against the allowance for credit losses of </w:t>
      </w:r>
      <w:r>
        <w:rPr>
          <w:rFonts w:ascii="Times New Roman" w:eastAsia="Times New Roman" w:hAnsi="Times New Roman" w:cs="Times New Roman"/>
          <w:b w:val="0"/>
          <w:i w:val="0"/>
          <w:color w:val="000000"/>
          <w:sz w:val="20"/>
          <w:u w:val="none"/>
        </w:rPr>
        <w:t>$37</w:t>
      </w:r>
      <w:r>
        <w:rPr>
          <w:rFonts w:ascii="Times New Roman" w:eastAsia="Times New Roman" w:hAnsi="Times New Roman" w:cs="Times New Roman"/>
          <w:b w:val="0"/>
          <w:i w:val="0"/>
          <w:color w:val="000000"/>
          <w:sz w:val="20"/>
          <w:u w:val="none"/>
        </w:rPr>
        <w:t xml:space="preserve">, and recoveries on previously written off receivables of </w:t>
      </w:r>
      <w:r>
        <w:rPr>
          <w:rFonts w:ascii="Times New Roman" w:eastAsia="Times New Roman" w:hAnsi="Times New Roman" w:cs="Times New Roman"/>
          <w:b w:val="0"/>
          <w:i w:val="0"/>
          <w:color w:val="000000"/>
          <w:sz w:val="20"/>
          <w:u w:val="none"/>
        </w:rPr>
        <w:t>$1,432</w:t>
      </w:r>
      <w:r>
        <w:rPr>
          <w:rFonts w:ascii="Times New Roman" w:eastAsia="Times New Roman" w:hAnsi="Times New Roman" w:cs="Times New Roman"/>
          <w:b w:val="0"/>
          <w:i w:val="0"/>
          <w:color w:val="000000"/>
          <w:sz w:val="20"/>
          <w:u w:val="none"/>
        </w:rPr>
        <w:t xml:space="preserve"> during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color w:val="000000"/>
          <w:sz w:val="20"/>
          <w:u w:val="none"/>
        </w:rPr>
        <w:t xml:space="preserve">. We had a provision for expected losses of </w:t>
      </w:r>
      <w:r>
        <w:rPr>
          <w:rFonts w:ascii="Times New Roman" w:eastAsia="Times New Roman" w:hAnsi="Times New Roman" w:cs="Times New Roman"/>
          <w:b w:val="0"/>
          <w:i w:val="0"/>
          <w:color w:val="000000"/>
          <w:sz w:val="20"/>
          <w:u w:val="none"/>
        </w:rPr>
        <w:t>$1,121</w:t>
      </w:r>
      <w:r>
        <w:rPr>
          <w:rFonts w:ascii="Times New Roman" w:eastAsia="Times New Roman" w:hAnsi="Times New Roman" w:cs="Times New Roman"/>
          <w:b w:val="0"/>
          <w:i w:val="0"/>
          <w:color w:val="000000"/>
          <w:sz w:val="20"/>
          <w:u w:val="none"/>
        </w:rPr>
        <w:t xml:space="preserve">, write-offs charges against the allowance for credit losses of </w:t>
      </w:r>
      <w:r>
        <w:rPr>
          <w:rFonts w:ascii="Times New Roman" w:eastAsia="Times New Roman" w:hAnsi="Times New Roman" w:cs="Times New Roman"/>
          <w:b w:val="0"/>
          <w:i w:val="0"/>
          <w:color w:val="000000"/>
          <w:sz w:val="20"/>
          <w:u w:val="none"/>
        </w:rPr>
        <w:t>$562</w:t>
      </w:r>
      <w:r>
        <w:rPr>
          <w:rFonts w:ascii="Times New Roman" w:eastAsia="Times New Roman" w:hAnsi="Times New Roman" w:cs="Times New Roman"/>
          <w:b w:val="0"/>
          <w:i w:val="0"/>
          <w:color w:val="000000"/>
          <w:sz w:val="20"/>
          <w:u w:val="none"/>
        </w:rPr>
        <w:t xml:space="preserve">, and recoveries on previously written off receivables of </w:t>
      </w:r>
      <w:r>
        <w:rPr>
          <w:rFonts w:ascii="Times New Roman" w:eastAsia="Times New Roman" w:hAnsi="Times New Roman" w:cs="Times New Roman"/>
          <w:b w:val="0"/>
          <w:i w:val="0"/>
          <w:color w:val="000000"/>
          <w:sz w:val="20"/>
          <w:u w:val="none"/>
        </w:rPr>
        <w:t>$737</w:t>
      </w:r>
      <w:r>
        <w:rPr>
          <w:rFonts w:ascii="Times New Roman" w:eastAsia="Times New Roman" w:hAnsi="Times New Roman" w:cs="Times New Roman"/>
          <w:b w:val="0"/>
          <w:i w:val="0"/>
          <w:color w:val="000000"/>
          <w:sz w:val="20"/>
          <w:u w:val="none"/>
        </w:rPr>
        <w:t xml:space="preserve"> during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color w:val="000000"/>
          <w:sz w:val="20"/>
          <w:u w:val="none"/>
        </w:rPr>
        <w:t xml:space="preserve">.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we had one customer that accounted for </w:t>
      </w:r>
      <w:r>
        <w:rPr>
          <w:rFonts w:ascii="Times New Roman" w:eastAsia="Times New Roman" w:hAnsi="Times New Roman" w:cs="Times New Roman"/>
          <w:b w:val="0"/>
          <w:i w:val="0"/>
          <w:color w:val="000000"/>
          <w:sz w:val="20"/>
          <w:u w:val="none"/>
        </w:rPr>
        <w:t>$2,088</w:t>
      </w:r>
      <w:r>
        <w:rPr>
          <w:rFonts w:ascii="Times New Roman" w:eastAsia="Times New Roman" w:hAnsi="Times New Roman" w:cs="Times New Roman"/>
          <w:b w:val="0"/>
          <w:i w:val="0"/>
          <w:color w:val="000000"/>
          <w:sz w:val="20"/>
          <w:u w:val="none"/>
        </w:rPr>
        <w:t xml:space="preserve"> or </w:t>
      </w:r>
      <w:r>
        <w:rPr>
          <w:rFonts w:ascii="Times New Roman" w:eastAsia="Times New Roman" w:hAnsi="Times New Roman" w:cs="Times New Roman"/>
          <w:b w:val="0"/>
          <w:i w:val="0"/>
          <w:color w:val="000000"/>
          <w:sz w:val="20"/>
          <w:u w:val="none"/>
        </w:rPr>
        <w:t>15%</w:t>
      </w:r>
      <w:r>
        <w:rPr>
          <w:rFonts w:ascii="Times New Roman" w:eastAsia="Times New Roman" w:hAnsi="Times New Roman" w:cs="Times New Roman"/>
          <w:b w:val="0"/>
          <w:i w:val="0"/>
          <w:color w:val="000000"/>
          <w:sz w:val="20"/>
          <w:u w:val="none"/>
        </w:rPr>
        <w:t xml:space="preserve">, of our net accounts receivable balance. The receivable balance is not collateralized, and thus the entire </w:t>
      </w:r>
      <w:r>
        <w:rPr>
          <w:rFonts w:ascii="Times New Roman" w:eastAsia="Times New Roman" w:hAnsi="Times New Roman" w:cs="Times New Roman"/>
          <w:b w:val="0"/>
          <w:i w:val="0"/>
          <w:color w:val="000000"/>
          <w:sz w:val="20"/>
          <w:u w:val="none"/>
        </w:rPr>
        <w:t>$2,088</w:t>
      </w:r>
      <w:r>
        <w:rPr>
          <w:rFonts w:ascii="Times New Roman" w:eastAsia="Times New Roman" w:hAnsi="Times New Roman" w:cs="Times New Roman"/>
          <w:b w:val="0"/>
          <w:i w:val="0"/>
          <w:color w:val="000000"/>
          <w:sz w:val="20"/>
          <w:u w:val="none"/>
        </w:rPr>
        <w:t xml:space="preserve"> is at risk of loss. As of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color w:val="000000"/>
          <w:sz w:val="20"/>
          <w:u w:val="none"/>
        </w:rPr>
        <w:t xml:space="preserve">, we had one customer that accounted for </w:t>
      </w:r>
      <w:r>
        <w:rPr>
          <w:rFonts w:ascii="Times New Roman" w:eastAsia="Times New Roman" w:hAnsi="Times New Roman" w:cs="Times New Roman"/>
          <w:b w:val="0"/>
          <w:i w:val="0"/>
          <w:color w:val="000000"/>
          <w:sz w:val="20"/>
          <w:u w:val="none"/>
        </w:rPr>
        <w:t>$1,879</w:t>
      </w:r>
      <w:r>
        <w:rPr>
          <w:rFonts w:ascii="Times New Roman" w:eastAsia="Times New Roman" w:hAnsi="Times New Roman" w:cs="Times New Roman"/>
          <w:b w:val="0"/>
          <w:i w:val="0"/>
          <w:color w:val="000000"/>
          <w:sz w:val="20"/>
          <w:u w:val="none"/>
        </w:rPr>
        <w:t xml:space="preserve"> or </w:t>
      </w:r>
      <w:r>
        <w:rPr>
          <w:rFonts w:ascii="Times New Roman" w:eastAsia="Times New Roman" w:hAnsi="Times New Roman" w:cs="Times New Roman"/>
          <w:b w:val="0"/>
          <w:i w:val="0"/>
          <w:color w:val="000000"/>
          <w:sz w:val="20"/>
          <w:u w:val="none"/>
        </w:rPr>
        <w:t>13%</w:t>
      </w:r>
      <w:r>
        <w:rPr>
          <w:rFonts w:ascii="Times New Roman" w:eastAsia="Times New Roman" w:hAnsi="Times New Roman" w:cs="Times New Roman"/>
          <w:b w:val="0"/>
          <w:i w:val="0"/>
          <w:color w:val="000000"/>
          <w:sz w:val="20"/>
          <w:u w:val="none"/>
        </w:rPr>
        <w:t xml:space="preserve"> of our net accounts receivable balance.</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highlight w:val="white"/>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u w:val="none"/>
        </w:rPr>
      </w:pPr>
      <w:r>
        <w:rPr>
          <w:rFonts w:ascii="Times New Roman" w:eastAsia="Times New Roman" w:hAnsi="Times New Roman" w:cs="Times New Roman"/>
          <w:b/>
          <w:i/>
          <w:color w:val="000000"/>
          <w:sz w:val="20"/>
          <w:u w:val="none"/>
        </w:rPr>
        <w:t>Contract Assets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val="0"/>
          <w:i w:val="0"/>
          <w:color w:val="000000"/>
          <w:sz w:val="20"/>
          <w:u w:val="none"/>
        </w:rPr>
        <w:t xml:space="preserve">Contract assets from contracts with customers were </w:t>
      </w:r>
      <w:r>
        <w:rPr>
          <w:rFonts w:ascii="Times New Roman" w:eastAsia="Times New Roman" w:hAnsi="Times New Roman" w:cs="Times New Roman"/>
          <w:b w:val="0"/>
          <w:i w:val="0"/>
          <w:color w:val="000000"/>
          <w:sz w:val="20"/>
          <w:u w:val="none"/>
        </w:rPr>
        <w:t>$7,309</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$3,747</w:t>
      </w:r>
      <w:r>
        <w:rPr>
          <w:rFonts w:ascii="Times New Roman" w:eastAsia="Times New Roman" w:hAnsi="Times New Roman" w:cs="Times New Roman"/>
          <w:b w:val="0"/>
          <w:i w:val="0"/>
          <w:color w:val="000000"/>
          <w:sz w:val="20"/>
          <w:u w:val="none"/>
        </w:rPr>
        <w:t xml:space="preserve"> at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color w:val="000000"/>
          <w:sz w:val="20"/>
          <w:highlight w:val="white"/>
          <w:u w:val="none"/>
        </w:rPr>
        <w:t>, respectively</w:t>
      </w:r>
      <w:r>
        <w:rPr>
          <w:rFonts w:ascii="Times New Roman" w:eastAsia="Times New Roman" w:hAnsi="Times New Roman" w:cs="Times New Roman"/>
          <w:b w:val="0"/>
          <w:i w:val="0"/>
          <w:color w:val="000000"/>
          <w:sz w:val="20"/>
          <w:u w:val="none"/>
        </w:rPr>
        <w:t xml:space="preserve">. Deferred commission costs from contracts with customers were </w:t>
      </w:r>
      <w:r>
        <w:rPr>
          <w:rFonts w:ascii="Times New Roman" w:eastAsia="Times New Roman" w:hAnsi="Times New Roman" w:cs="Times New Roman"/>
          <w:b w:val="0"/>
          <w:i w:val="0"/>
          <w:color w:val="000000"/>
          <w:sz w:val="20"/>
          <w:u w:val="none"/>
        </w:rPr>
        <w:t>$15,848</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$14,721</w:t>
      </w:r>
      <w:r>
        <w:rPr>
          <w:rFonts w:ascii="Times New Roman" w:eastAsia="Times New Roman" w:hAnsi="Times New Roman" w:cs="Times New Roman"/>
          <w:b w:val="0"/>
          <w:i w:val="0"/>
          <w:color w:val="000000"/>
          <w:sz w:val="20"/>
          <w:u w:val="none"/>
        </w:rPr>
        <w:t xml:space="preserve"> at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color w:val="000000"/>
          <w:sz w:val="20"/>
          <w:highlight w:val="white"/>
          <w:u w:val="none"/>
        </w:rPr>
        <w:t xml:space="preserve">, respectively. The amount of amortization recognized for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highlight w:val="white"/>
          <w:u w:val="none"/>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was </w:t>
      </w:r>
      <w:r>
        <w:rPr>
          <w:rFonts w:ascii="Times New Roman" w:eastAsia="Times New Roman" w:hAnsi="Times New Roman" w:cs="Times New Roman"/>
          <w:b w:val="0"/>
          <w:i w:val="0"/>
          <w:color w:val="000000"/>
          <w:sz w:val="20"/>
          <w:u w:val="none"/>
        </w:rPr>
        <w:t>$1,059</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$2,874</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highlight w:val="white"/>
          <w:u w:val="none"/>
        </w:rPr>
        <w:t xml:space="preserve">respectively, and for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highlight w:val="white"/>
          <w:u w:val="none"/>
        </w:rPr>
        <w:t xml:space="preserve"> months ended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color w:val="000000"/>
          <w:sz w:val="20"/>
          <w:highlight w:val="white"/>
          <w:u w:val="none"/>
        </w:rPr>
        <w:t xml:space="preserve"> was </w:t>
      </w:r>
      <w:r>
        <w:rPr>
          <w:rFonts w:ascii="Times New Roman" w:eastAsia="Times New Roman" w:hAnsi="Times New Roman" w:cs="Times New Roman"/>
          <w:b w:val="0"/>
          <w:i w:val="0"/>
          <w:color w:val="000000"/>
          <w:sz w:val="20"/>
          <w:u w:val="none"/>
        </w:rPr>
        <w:t>$839</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u w:val="none"/>
        </w:rPr>
        <w:t>$2,453</w:t>
      </w:r>
      <w:r>
        <w:rPr>
          <w:rFonts w:ascii="Times New Roman" w:eastAsia="Times New Roman" w:hAnsi="Times New Roman" w:cs="Times New Roman"/>
          <w:b w:val="0"/>
          <w:i w:val="0"/>
          <w:color w:val="000000"/>
          <w:sz w:val="20"/>
          <w:highlight w:val="white"/>
          <w:u w:val="none"/>
        </w:rPr>
        <w:t>, respectively.</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highlight w:val="white"/>
          <w:u w:val="none"/>
        </w:rPr>
      </w:pPr>
      <w:r>
        <w:rPr>
          <w:rFonts w:ascii="Times New Roman" w:eastAsia="Times New Roman" w:hAnsi="Times New Roman" w:cs="Times New Roman"/>
          <w:b/>
          <w:i/>
          <w:color w:val="000000"/>
          <w:sz w:val="20"/>
          <w:highlight w:val="white"/>
          <w:u w:val="none"/>
        </w:rPr>
        <w:t>Deferred Revenue</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highlight w:val="yellow"/>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During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u w:val="none"/>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revenue of </w:t>
      </w:r>
      <w:r>
        <w:rPr>
          <w:rFonts w:ascii="Times New Roman" w:eastAsia="Times New Roman" w:hAnsi="Times New Roman" w:cs="Times New Roman"/>
          <w:b w:val="0"/>
          <w:i w:val="0"/>
          <w:color w:val="000000"/>
          <w:sz w:val="20"/>
          <w:u w:val="none"/>
        </w:rPr>
        <w:t>$2,156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$13,712</w:t>
      </w:r>
      <w:r>
        <w:rPr>
          <w:rFonts w:ascii="Times New Roman" w:eastAsia="Times New Roman" w:hAnsi="Times New Roman" w:cs="Times New Roman"/>
          <w:b w:val="0"/>
          <w:i w:val="0"/>
          <w:color w:val="000000"/>
          <w:sz w:val="20"/>
          <w:u w:val="none"/>
        </w:rPr>
        <w:t xml:space="preserve">, respectively, and during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u w:val="none"/>
        </w:rPr>
        <w:t xml:space="preserve"> months ended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color w:val="000000"/>
          <w:sz w:val="20"/>
          <w:u w:val="none"/>
        </w:rPr>
        <w:t xml:space="preserve">, revenue of </w:t>
      </w:r>
      <w:r>
        <w:rPr>
          <w:rFonts w:ascii="Times New Roman" w:eastAsia="Times New Roman" w:hAnsi="Times New Roman" w:cs="Times New Roman"/>
          <w:b w:val="0"/>
          <w:i w:val="0"/>
          <w:color w:val="000000"/>
          <w:sz w:val="20"/>
          <w:u w:val="none"/>
        </w:rPr>
        <w:t>$1,834</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$10,391</w:t>
      </w:r>
      <w:r>
        <w:rPr>
          <w:rFonts w:ascii="Times New Roman" w:eastAsia="Times New Roman" w:hAnsi="Times New Roman" w:cs="Times New Roman"/>
          <w:b w:val="0"/>
          <w:i w:val="0"/>
          <w:color w:val="000000"/>
          <w:sz w:val="20"/>
          <w:u w:val="none"/>
        </w:rPr>
        <w:t xml:space="preserve">, respectively, was recognized from the deferred revenue balance at the beginning of each period.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yellow"/>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highlight w:val="white"/>
          <w:u w:val="none"/>
        </w:rPr>
      </w:pPr>
      <w:r>
        <w:rPr>
          <w:rFonts w:ascii="Times New Roman" w:eastAsia="Times New Roman" w:hAnsi="Times New Roman" w:cs="Times New Roman"/>
          <w:b/>
          <w:i/>
          <w:color w:val="000000"/>
          <w:sz w:val="20"/>
          <w:highlight w:val="white"/>
          <w:u w:val="none"/>
        </w:rPr>
        <w:t>Transaction Price Allocated to the Remaining Performance Obligations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highlight w:val="yellow"/>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yellow"/>
          <w:u w:val="none"/>
        </w:rPr>
      </w:pPr>
      <w:r>
        <w:rPr>
          <w:rFonts w:ascii="Times New Roman" w:eastAsia="Times New Roman" w:hAnsi="Times New Roman" w:cs="Times New Roman"/>
          <w:b w:val="0"/>
          <w:i w:val="0"/>
          <w:color w:val="000000"/>
          <w:sz w:val="20"/>
          <w:u w:val="none"/>
        </w:rPr>
        <w:t xml:space="preserve">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approximately </w:t>
      </w:r>
      <w:r>
        <w:rPr>
          <w:rFonts w:ascii="Times New Roman" w:eastAsia="Times New Roman" w:hAnsi="Times New Roman" w:cs="Times New Roman"/>
          <w:b w:val="0"/>
          <w:i w:val="0"/>
          <w:color w:val="000000"/>
          <w:sz w:val="20"/>
          <w:u w:val="none"/>
        </w:rPr>
        <w:t>$86,648</w:t>
      </w:r>
      <w:r>
        <w:rPr>
          <w:rFonts w:ascii="Times New Roman" w:eastAsia="Times New Roman" w:hAnsi="Times New Roman" w:cs="Times New Roman"/>
          <w:b w:val="0"/>
          <w:i w:val="0"/>
          <w:color w:val="000000"/>
          <w:sz w:val="20"/>
          <w:u w:val="none"/>
        </w:rPr>
        <w:t xml:space="preserve"> of revenue is expected to be recognized from remaining performance obligations. We expect to recognize revenue on approximately </w:t>
      </w:r>
      <w:r>
        <w:rPr>
          <w:rFonts w:ascii="Times New Roman" w:eastAsia="Times New Roman" w:hAnsi="Times New Roman" w:cs="Times New Roman"/>
          <w:b w:val="0"/>
          <w:i w:val="0"/>
          <w:color w:val="000000"/>
          <w:sz w:val="20"/>
          <w:u w:val="none"/>
        </w:rPr>
        <w:t>46%</w:t>
      </w:r>
      <w:r>
        <w:rPr>
          <w:rFonts w:ascii="Times New Roman" w:eastAsia="Times New Roman" w:hAnsi="Times New Roman" w:cs="Times New Roman"/>
          <w:b w:val="0"/>
          <w:i w:val="0"/>
          <w:color w:val="000000"/>
          <w:sz w:val="20"/>
          <w:u w:val="none"/>
        </w:rPr>
        <w:t xml:space="preserve"> of these remaining performance obligations over the next </w:t>
      </w:r>
      <w:r>
        <w:rPr>
          <w:rFonts w:ascii="Times New Roman" w:eastAsia="Times New Roman" w:hAnsi="Times New Roman" w:cs="Times New Roman"/>
          <w:b w:val="0"/>
          <w:i w:val="0"/>
          <w:color w:val="000000"/>
          <w:sz w:val="20"/>
          <w:u w:val="none"/>
        </w:rPr>
        <w:t>twelve months</w:t>
      </w:r>
      <w:r>
        <w:rPr>
          <w:rFonts w:ascii="Times New Roman" w:eastAsia="Times New Roman" w:hAnsi="Times New Roman" w:cs="Times New Roman"/>
          <w:b w:val="0"/>
          <w:i w:val="0"/>
          <w:color w:val="000000"/>
          <w:sz w:val="20"/>
          <w:u w:val="none"/>
        </w:rPr>
        <w:t>, with the balance recognized thereafter. These amounts exclude remaining pe</w:t>
      </w:r>
      <w:r>
        <w:rPr>
          <w:rFonts w:ascii="Times New Roman" w:eastAsia="Times New Roman" w:hAnsi="Times New Roman" w:cs="Times New Roman"/>
          <w:b w:val="0"/>
          <w:i w:val="0"/>
          <w:color w:val="000000"/>
          <w:sz w:val="20"/>
          <w:highlight w:val="white"/>
          <w:u w:val="none"/>
        </w:rPr>
        <w:t xml:space="preserve">rformance obligations related to contracts for professional services for tax and payroll offerings whose remaining contractual term is less than one year as of </w:t>
      </w:r>
      <w:r>
        <w:rPr>
          <w:rFonts w:ascii="Times New Roman" w:eastAsia="Times New Roman" w:hAnsi="Times New Roman" w:cs="Times New Roman"/>
          <w:b w:val="0"/>
          <w:i w:val="0"/>
          <w:color w:val="000000"/>
          <w:sz w:val="20"/>
          <w:highlight w:val="white"/>
          <w:u w:val="none"/>
        </w:rPr>
        <w:t>September 30, 2026</w:t>
      </w:r>
      <w:r>
        <w:rPr>
          <w:rFonts w:ascii="Times New Roman" w:eastAsia="Times New Roman" w:hAnsi="Times New Roman" w:cs="Times New Roman"/>
          <w:b w:val="0"/>
          <w:i w:val="0"/>
          <w:color w:val="000000"/>
          <w:sz w:val="20"/>
          <w:highlight w:val="white"/>
          <w:u w:val="none"/>
        </w:rPr>
        <w:t xml:space="preserve">.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yellow"/>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highlight w:val="white"/>
          <w:u w:val="none"/>
        </w:rPr>
      </w:pPr>
      <w:r>
        <w:rPr>
          <w:rFonts w:ascii="Times New Roman" w:eastAsia="Times New Roman" w:hAnsi="Times New Roman" w:cs="Times New Roman"/>
          <w:b/>
          <w:i/>
          <w:color w:val="000000"/>
          <w:sz w:val="20"/>
          <w:highlight w:val="white"/>
          <w:u w:val="none"/>
        </w:rPr>
        <w:t>Revenue Concentration</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color w:val="000000"/>
          <w:sz w:val="20"/>
          <w:highlight w:val="yellow"/>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During the </w:t>
      </w:r>
      <w:r>
        <w:rPr>
          <w:rFonts w:ascii="Times New Roman" w:eastAsia="Times New Roman" w:hAnsi="Times New Roman" w:cs="Times New Roman"/>
          <w:b w:val="0"/>
          <w:i w:val="0"/>
          <w:color w:val="000000"/>
          <w:sz w:val="20"/>
          <w:u w:val="none"/>
        </w:rPr>
        <w:t>nine</w:t>
      </w:r>
      <w:r>
        <w:rPr>
          <w:rFonts w:ascii="Times New Roman" w:eastAsia="Times New Roman" w:hAnsi="Times New Roman" w:cs="Times New Roman"/>
          <w:b w:val="0"/>
          <w:i w:val="0"/>
          <w:color w:val="000000"/>
          <w:sz w:val="20"/>
          <w:u w:val="none"/>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 there were no customers that individually represented 10% or more of consolidated revenue.</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3"/>
        <w:rPr>
          <w:rFonts w:ascii="Times New Roman" w:eastAsia="Times New Roman" w:hAnsi="Times New Roman" w:cs="Times New Roman"/>
          <w:b/>
          <w:i w:val="0"/>
          <w:sz w:val="20"/>
        </w:rPr>
      </w:pPr>
      <w:bookmarkStart w:id="16" w:name="Section17"/>
      <w:bookmarkEnd w:id="16"/>
      <w:r>
        <w:rPr>
          <w:rFonts w:ascii="Times New Roman" w:eastAsia="Times New Roman" w:hAnsi="Times New Roman" w:cs="Times New Roman"/>
          <w:b/>
          <w:i w:val="0"/>
          <w:sz w:val="20"/>
        </w:rPr>
        <w:t xml:space="preserve">NOTE 8 - </w:t>
      </w:r>
      <w:r>
        <w:rPr>
          <w:rFonts w:ascii="Times New Roman" w:eastAsia="Times New Roman" w:hAnsi="Times New Roman" w:cs="Times New Roman"/>
          <w:b/>
          <w:i w:val="0"/>
          <w:color w:val="000000"/>
          <w:sz w:val="20"/>
          <w:u w:val="none"/>
        </w:rPr>
        <w:t>COMMITMENTS AND CONTINGENCIES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color w:val="000000"/>
          <w:sz w:val="20"/>
          <w:u w:val="none"/>
        </w:rPr>
        <w:t>Lease Commitments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675"/>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We have entered into office space lease agreements, which qualify as operating leases under ASC 842 (“Leases”). Under such leases, we have commitments to pay annual minimum (base) rent. The leases have original terms (excluding extension options) ranging from </w:t>
      </w:r>
      <w:r>
        <w:rPr>
          <w:rFonts w:ascii="Times New Roman" w:eastAsia="Times New Roman" w:hAnsi="Times New Roman" w:cs="Times New Roman"/>
          <w:b w:val="0"/>
          <w:i w:val="0"/>
          <w:color w:val="000000"/>
          <w:sz w:val="20"/>
          <w:u w:val="none"/>
        </w:rPr>
        <w:t>one</w:t>
      </w:r>
      <w:r>
        <w:rPr>
          <w:rFonts w:ascii="Times New Roman" w:eastAsia="Times New Roman" w:hAnsi="Times New Roman" w:cs="Times New Roman"/>
          <w:b w:val="0"/>
          <w:i w:val="0"/>
          <w:color w:val="000000"/>
          <w:sz w:val="20"/>
          <w:u w:val="none"/>
        </w:rPr>
        <w:t> to </w:t>
      </w:r>
      <w:r>
        <w:rPr>
          <w:rFonts w:ascii="Times New Roman" w:eastAsia="Times New Roman" w:hAnsi="Times New Roman" w:cs="Times New Roman"/>
          <w:b w:val="0"/>
          <w:i w:val="0"/>
          <w:color w:val="000000"/>
          <w:sz w:val="20"/>
          <w:u w:val="none"/>
        </w:rPr>
        <w:t>ten years</w:t>
      </w:r>
      <w:r>
        <w:rPr>
          <w:rFonts w:ascii="Times New Roman" w:eastAsia="Times New Roman" w:hAnsi="Times New Roman" w:cs="Times New Roman"/>
          <w:b w:val="0"/>
          <w:i w:val="0"/>
          <w:color w:val="000000"/>
          <w:sz w:val="20"/>
          <w:u w:val="none"/>
        </w:rPr>
        <w:t xml:space="preserve">. Our lease agreements do not contain any material residual value guarantees or material restrictive covenants. </w:t>
      </w:r>
    </w:p>
    <w:p>
      <w:pPr>
        <w:keepNext w:val="0"/>
        <w:keepLines/>
        <w:pageBreakBefore w:val="0"/>
        <w:widowControl w:val="0"/>
        <w:numPr>
          <w:ilvl w:val="0"/>
          <w:numId w:val="0"/>
        </w:numPr>
        <w:spacing w:before="0" w:after="0" w:line="288" w:lineRule="auto"/>
        <w:ind w:left="0" w:right="0" w:firstLine="675"/>
        <w:jc w:val="both"/>
        <w:outlineLvl w:val="9"/>
        <w:rPr>
          <w:rFonts w:ascii="Times New Roman" w:eastAsia="Times New Roman" w:hAnsi="Times New Roman" w:cs="Times New Roman"/>
          <w:b w:val="0"/>
          <w:i w:val="0"/>
          <w:color w:val="000000"/>
          <w:sz w:val="20"/>
          <w:u w:val="none"/>
        </w:rPr>
      </w:pPr>
    </w:p>
    <w:p>
      <w:pPr>
        <w:keepNext w:val="0"/>
        <w:keepLines/>
        <w:pageBreakBefore/>
        <w:widowControl w:val="0"/>
        <w:numPr>
          <w:ilvl w:val="0"/>
          <w:numId w:val="0"/>
        </w:numPr>
        <w:spacing w:before="0" w:after="0" w:line="288" w:lineRule="auto"/>
        <w:ind w:left="0" w:right="0" w:firstLine="675"/>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We record base rent expense under the straight-line method over the term of the lease. In the accompanying Condensed Consolidated Statements of Comprehensive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color w:val="000000"/>
          <w:sz w:val="20"/>
          <w:u w:val="none"/>
        </w:rPr>
        <w:t>, rent expense is included in operating expenses under general and administrative expenses. Rent expense was as follows for the periods presented below (in thousands):</w:t>
      </w:r>
    </w:p>
    <w:tbl>
      <w:tblPr>
        <w:tblStyle w:val="TableNormal0"/>
        <w:tblW w:w="10155" w:type="dxa"/>
        <w:jc w:val="center"/>
        <w:tblLayout w:type="fixed"/>
      </w:tblPr>
      <w:tblGrid>
        <w:gridCol w:w="3600"/>
        <w:gridCol w:w="1575"/>
        <w:gridCol w:w="75"/>
        <w:gridCol w:w="1575"/>
        <w:gridCol w:w="105"/>
        <w:gridCol w:w="1575"/>
        <w:gridCol w:w="75"/>
        <w:gridCol w:w="1575"/>
      </w:tblGrid>
      <w:tr>
        <w:tblPrEx>
          <w:tblW w:w="10155" w:type="dxa"/>
          <w:tblLayout w:type="fixed"/>
        </w:tblPrEx>
        <w:trPr>
          <w:trHeight w:hRule="exact" w:val="285"/>
        </w:trPr>
        <w:tc>
          <w:tcPr>
            <w:tcW w:w="360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22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Three Months Ended September 30,</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322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Nine Months Ended September 30,</w:t>
            </w:r>
          </w:p>
        </w:tc>
      </w:tr>
      <w:tr>
        <w:tblPrEx>
          <w:tblW w:w="10155" w:type="dxa"/>
          <w:tblLayout w:type="fixed"/>
        </w:tblPrEx>
        <w:trPr>
          <w:trHeight w:hRule="exact" w:val="285"/>
        </w:trPr>
        <w:tc>
          <w:tcPr>
            <w:tcW w:w="360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57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57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r>
      <w:tr>
        <w:tblPrEx>
          <w:tblW w:w="10155" w:type="dxa"/>
          <w:tblLayout w:type="fixed"/>
        </w:tblPrEx>
        <w:trPr>
          <w:trHeight w:hRule="exact" w:val="285"/>
        </w:trPr>
        <w:tc>
          <w:tcPr>
            <w:tcW w:w="3600"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ind w:left="120"/>
              <w:jc w:val="left"/>
            </w:pPr>
            <w:r>
              <w:rPr>
                <w:rFonts w:ascii="Times New Roman" w:eastAsia="Times New Roman" w:hAnsi="Times New Roman" w:cs="Times New Roman"/>
                <w:b w:val="0"/>
                <w:i w:val="0"/>
                <w:color w:val="000000"/>
                <w:sz w:val="20"/>
                <w:u w:val="none"/>
              </w:rPr>
              <w:t>Rent expense</w:t>
            </w: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142"/>
                <w:tab w:val="left" w:pos="1507"/>
              </w:tabs>
              <w:spacing w:before="33" w:after="30" w:line="240" w:lineRule="auto"/>
              <w:jc w:val="right"/>
            </w:pPr>
            <w:r>
              <w:rPr>
                <w:rFonts w:ascii="Times New Roman" w:eastAsia="Times New Roman" w:hAnsi="Times New Roman" w:cs="Times New Roman"/>
                <w:b w:val="0"/>
                <w:i w:val="0"/>
                <w:color w:val="000000"/>
                <w:sz w:val="20"/>
                <w:u w:val="none"/>
              </w:rPr>
              <w:t>$</w:t>
              <w:tab/>
              <w:t>633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142"/>
                <w:tab w:val="left" w:pos="1507"/>
              </w:tabs>
              <w:spacing w:before="33" w:after="30" w:line="240" w:lineRule="auto"/>
              <w:jc w:val="right"/>
            </w:pPr>
            <w:r>
              <w:rPr>
                <w:rFonts w:ascii="Times New Roman" w:eastAsia="Times New Roman" w:hAnsi="Times New Roman" w:cs="Times New Roman"/>
                <w:b w:val="0"/>
                <w:i w:val="0"/>
                <w:color w:val="000000"/>
                <w:sz w:val="20"/>
                <w:u w:val="none"/>
              </w:rPr>
              <w:t>$</w:t>
              <w:tab/>
              <w:t>577</w:t>
              <w:tab/>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992"/>
                <w:tab w:val="left" w:pos="1507"/>
              </w:tabs>
              <w:spacing w:before="33" w:after="30" w:line="240" w:lineRule="auto"/>
              <w:jc w:val="right"/>
            </w:pPr>
            <w:r>
              <w:rPr>
                <w:rFonts w:ascii="Times New Roman" w:eastAsia="Times New Roman" w:hAnsi="Times New Roman" w:cs="Times New Roman"/>
                <w:b w:val="0"/>
                <w:i w:val="0"/>
                <w:color w:val="000000"/>
                <w:sz w:val="20"/>
                <w:u w:val="none"/>
              </w:rPr>
              <w:t>$</w:t>
              <w:tab/>
              <w:t>1,923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992"/>
                <w:tab w:val="left" w:pos="1507"/>
              </w:tabs>
              <w:spacing w:before="33" w:after="30" w:line="240" w:lineRule="auto"/>
              <w:jc w:val="right"/>
            </w:pPr>
            <w:r>
              <w:rPr>
                <w:rFonts w:ascii="Times New Roman" w:eastAsia="Times New Roman" w:hAnsi="Times New Roman" w:cs="Times New Roman"/>
                <w:b w:val="0"/>
                <w:i w:val="0"/>
                <w:color w:val="000000"/>
                <w:sz w:val="20"/>
                <w:u w:val="none"/>
              </w:rPr>
              <w:t>$</w:t>
              <w:tab/>
              <w:t>1,631</w:t>
              <w:tab/>
            </w:r>
          </w:p>
        </w:tc>
      </w:tr>
    </w:tbl>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For purposes of calculating the lease assets and lease liabilities, extension options are not included</w:t>
      </w:r>
      <w:r>
        <w:rPr>
          <w:rFonts w:ascii="Times New Roman" w:eastAsia="Times New Roman" w:hAnsi="Times New Roman" w:cs="Times New Roman"/>
          <w:b w:val="0"/>
          <w:i w:val="0"/>
          <w:color w:val="000000"/>
          <w:sz w:val="20"/>
          <w:highlight w:val="white"/>
          <w:u w:val="none"/>
        </w:rPr>
        <w:t xml:space="preserve"> in the lease term unless it is reasonably certain we will exercise the option, or the lessor has the sole ability to exercise the option. The weighted average discount rate of our operating leases is </w:t>
      </w:r>
      <w:r>
        <w:rPr>
          <w:rFonts w:ascii="Times New Roman" w:eastAsia="Times New Roman" w:hAnsi="Times New Roman" w:cs="Times New Roman"/>
          <w:b w:val="0"/>
          <w:i w:val="0"/>
          <w:color w:val="000000"/>
          <w:sz w:val="20"/>
          <w:highlight w:val="white"/>
          <w:u w:val="none"/>
        </w:rPr>
        <w:t>10%</w:t>
      </w:r>
      <w:r>
        <w:rPr>
          <w:rFonts w:ascii="Times New Roman" w:eastAsia="Times New Roman" w:hAnsi="Times New Roman" w:cs="Times New Roman"/>
          <w:b w:val="0"/>
          <w:i w:val="0"/>
          <w:color w:val="000000"/>
          <w:sz w:val="20"/>
          <w:highlight w:val="white"/>
          <w:u w:val="none"/>
        </w:rPr>
        <w:t xml:space="preserve"> as of </w:t>
      </w:r>
      <w:r>
        <w:rPr>
          <w:rFonts w:ascii="Times New Roman" w:eastAsia="Times New Roman" w:hAnsi="Times New Roman" w:cs="Times New Roman"/>
          <w:b w:val="0"/>
          <w:i w:val="0"/>
          <w:color w:val="000000"/>
          <w:sz w:val="20"/>
          <w:highlight w:val="white"/>
          <w:u w:val="none"/>
        </w:rPr>
        <w:t>September 30, 2026</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highlight w:val="white"/>
          <w:u w:val="none"/>
        </w:rPr>
        <w:t>December 31, 2025</w:t>
      </w:r>
      <w:r>
        <w:rPr>
          <w:rFonts w:ascii="Times New Roman" w:eastAsia="Times New Roman" w:hAnsi="Times New Roman" w:cs="Times New Roman"/>
          <w:b w:val="0"/>
          <w:i w:val="0"/>
          <w:color w:val="000000"/>
          <w:sz w:val="20"/>
          <w:highlight w:val="white"/>
          <w:u w:val="none"/>
        </w:rPr>
        <w:t xml:space="preserve">. The weighted average remaining lease term for our operating leases </w:t>
      </w:r>
      <w:r>
        <w:rPr>
          <w:rFonts w:ascii="Times New Roman" w:eastAsia="Times New Roman" w:hAnsi="Times New Roman" w:cs="Times New Roman"/>
          <w:b w:val="0"/>
          <w:i w:val="0"/>
          <w:color w:val="000000"/>
          <w:sz w:val="20"/>
          <w:u w:val="none"/>
        </w:rPr>
        <w:t xml:space="preserve">is </w:t>
      </w:r>
      <w:r>
        <w:rPr>
          <w:rFonts w:ascii="Times New Roman" w:eastAsia="Times New Roman" w:hAnsi="Times New Roman" w:cs="Times New Roman"/>
          <w:b w:val="0"/>
          <w:i w:val="0"/>
          <w:color w:val="000000"/>
          <w:sz w:val="20"/>
          <w:u w:val="none"/>
        </w:rPr>
        <w:t>two years</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u w:val="none"/>
        </w:rPr>
        <w:t>three years</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highlight w:val="white"/>
          <w:u w:val="none"/>
        </w:rPr>
        <w:t xml:space="preserve">as of </w:t>
      </w:r>
      <w:r>
        <w:rPr>
          <w:rFonts w:ascii="Times New Roman" w:eastAsia="Times New Roman" w:hAnsi="Times New Roman" w:cs="Times New Roman"/>
          <w:b w:val="0"/>
          <w:i w:val="0"/>
          <w:color w:val="000000"/>
          <w:sz w:val="20"/>
          <w:highlight w:val="white"/>
          <w:u w:val="none"/>
        </w:rPr>
        <w:t>September 30, 2026</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highlight w:val="white"/>
          <w:u w:val="none"/>
        </w:rPr>
        <w:t>December 31, 2025</w:t>
      </w:r>
      <w:r>
        <w:rPr>
          <w:rFonts w:ascii="Times New Roman" w:eastAsia="Times New Roman" w:hAnsi="Times New Roman" w:cs="Times New Roman"/>
          <w:b w:val="0"/>
          <w:i w:val="0"/>
          <w:color w:val="000000"/>
          <w:sz w:val="20"/>
          <w:highlight w:val="white"/>
          <w:u w:val="none"/>
        </w:rPr>
        <w:t>, respectively.</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Supplemental cash flow information related to leases are as follows for the periods presented below (in thousands):</w:t>
      </w:r>
    </w:p>
    <w:tbl>
      <w:tblPr>
        <w:tblStyle w:val="TableNormal0"/>
        <w:tblW w:w="10260" w:type="dxa"/>
        <w:jc w:val="center"/>
        <w:tblLayout w:type="fixed"/>
      </w:tblPr>
      <w:tblGrid>
        <w:gridCol w:w="7035"/>
        <w:gridCol w:w="1575"/>
        <w:gridCol w:w="75"/>
        <w:gridCol w:w="1575"/>
      </w:tblGrid>
      <w:tr>
        <w:tblPrEx>
          <w:tblW w:w="10260" w:type="dxa"/>
          <w:tblLayout w:type="fixed"/>
        </w:tblPrEx>
        <w:trPr>
          <w:trHeight w:hRule="exact" w:val="285"/>
        </w:trPr>
        <w:tc>
          <w:tcPr>
            <w:tcW w:w="703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22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Nine Months Ended September 30,</w:t>
            </w:r>
          </w:p>
        </w:tc>
      </w:tr>
      <w:tr>
        <w:tblPrEx>
          <w:tblW w:w="10260" w:type="dxa"/>
          <w:tblLayout w:type="fixed"/>
        </w:tblPrEx>
        <w:trPr>
          <w:trHeight w:hRule="exact" w:val="285"/>
        </w:trPr>
        <w:tc>
          <w:tcPr>
            <w:tcW w:w="7035" w:type="dxa"/>
            <w:tcBorders>
              <w:top w:val="nil"/>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157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r>
      <w:tr>
        <w:tblPrEx>
          <w:tblW w:w="10260" w:type="dxa"/>
          <w:tblLayout w:type="fixed"/>
        </w:tblPrEx>
        <w:trPr>
          <w:trHeight w:hRule="exact" w:val="285"/>
        </w:trPr>
        <w:tc>
          <w:tcPr>
            <w:tcW w:w="703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Cash paid for amounts included in the measurement of operating lease liabilities:</w:t>
            </w:r>
          </w:p>
        </w:tc>
        <w:tc>
          <w:tcPr>
            <w:tcW w:w="1575" w:type="dxa"/>
            <w:tcBorders>
              <w:top w:val="single" w:sz="8" w:space="0" w:color="000000"/>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75" w:type="dxa"/>
            <w:tcBorders>
              <w:top w:val="single" w:sz="8" w:space="0" w:color="000000"/>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r>
      <w:tr>
        <w:tblPrEx>
          <w:tblW w:w="10260" w:type="dxa"/>
          <w:tblLayout w:type="fixed"/>
        </w:tblPrEx>
        <w:trPr>
          <w:trHeight w:hRule="exact" w:val="285"/>
        </w:trPr>
        <w:tc>
          <w:tcPr>
            <w:tcW w:w="703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35"/>
              <w:jc w:val="left"/>
            </w:pPr>
            <w:r>
              <w:rPr>
                <w:rFonts w:ascii="Times New Roman" w:eastAsia="Times New Roman" w:hAnsi="Times New Roman" w:cs="Times New Roman"/>
                <w:b w:val="0"/>
                <w:i w:val="0"/>
                <w:color w:val="000000"/>
                <w:sz w:val="20"/>
                <w:u w:val="none"/>
              </w:rPr>
              <w:t>Operating cash outflows from operating leases</w:t>
            </w: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92"/>
                <w:tab w:val="left" w:pos="1507"/>
              </w:tabs>
              <w:spacing w:before="53" w:after="30" w:line="240" w:lineRule="auto"/>
              <w:jc w:val="right"/>
            </w:pPr>
            <w:r>
              <w:rPr>
                <w:rFonts w:ascii="Times New Roman" w:eastAsia="Times New Roman" w:hAnsi="Times New Roman" w:cs="Times New Roman"/>
                <w:b w:val="0"/>
                <w:i w:val="0"/>
                <w:color w:val="000000"/>
                <w:sz w:val="20"/>
                <w:u w:val="none"/>
              </w:rPr>
              <w:t>$</w:t>
              <w:tab/>
              <w:t>1,947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92"/>
                <w:tab w:val="left" w:pos="1507"/>
              </w:tabs>
              <w:spacing w:before="53" w:after="30" w:line="240" w:lineRule="auto"/>
              <w:jc w:val="right"/>
            </w:pPr>
            <w:r>
              <w:rPr>
                <w:rFonts w:ascii="Times New Roman" w:eastAsia="Times New Roman" w:hAnsi="Times New Roman" w:cs="Times New Roman"/>
                <w:b w:val="0"/>
                <w:i w:val="0"/>
                <w:color w:val="000000"/>
                <w:sz w:val="20"/>
                <w:u w:val="none"/>
              </w:rPr>
              <w:t>$</w:t>
              <w:tab/>
              <w:t>1,652</w:t>
              <w:tab/>
            </w:r>
          </w:p>
        </w:tc>
      </w:tr>
      <w:tr>
        <w:tblPrEx>
          <w:tblW w:w="10260" w:type="dxa"/>
          <w:tblLayout w:type="fixed"/>
        </w:tblPrEx>
        <w:trPr>
          <w:trHeight w:hRule="exact" w:val="285"/>
        </w:trPr>
        <w:tc>
          <w:tcPr>
            <w:tcW w:w="703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Non-cash activities:</w:t>
            </w:r>
          </w:p>
        </w:tc>
        <w:tc>
          <w:tcPr>
            <w:tcW w:w="15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60" w:type="dxa"/>
          <w:tblLayout w:type="fixed"/>
        </w:tblPrEx>
        <w:trPr>
          <w:trHeight w:hRule="exact" w:val="465"/>
        </w:trPr>
        <w:tc>
          <w:tcPr>
            <w:tcW w:w="703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53" w:after="30" w:line="240" w:lineRule="auto"/>
              <w:ind w:left="135"/>
              <w:jc w:val="left"/>
            </w:pPr>
            <w:r>
              <w:rPr>
                <w:rFonts w:ascii="Times New Roman" w:eastAsia="Times New Roman" w:hAnsi="Times New Roman" w:cs="Times New Roman"/>
                <w:b w:val="0"/>
                <w:i w:val="0"/>
                <w:color w:val="000000"/>
                <w:sz w:val="20"/>
                <w:u w:val="none"/>
              </w:rPr>
              <w:t>Operating lease assets obtained or removed in exchange for new, modified or terminated operating lease liabilities</w:t>
            </w: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1142"/>
                <w:tab w:val="left" w:pos="1507"/>
              </w:tabs>
              <w:spacing w:before="53" w:after="30" w:line="240" w:lineRule="auto"/>
              <w:jc w:val="right"/>
            </w:pPr>
            <w:r>
              <w:rPr>
                <w:rFonts w:ascii="Times New Roman" w:eastAsia="Times New Roman" w:hAnsi="Times New Roman" w:cs="Times New Roman"/>
                <w:b w:val="0"/>
                <w:i w:val="0"/>
                <w:color w:val="000000"/>
                <w:sz w:val="20"/>
                <w:u w:val="none"/>
              </w:rPr>
              <w:t>$</w:t>
              <w:tab/>
              <w:t>194</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992"/>
                <w:tab w:val="left" w:pos="1507"/>
              </w:tabs>
              <w:spacing w:before="53" w:after="30" w:line="240" w:lineRule="auto"/>
              <w:jc w:val="right"/>
            </w:pPr>
            <w:r>
              <w:rPr>
                <w:rFonts w:ascii="Times New Roman" w:eastAsia="Times New Roman" w:hAnsi="Times New Roman" w:cs="Times New Roman"/>
                <w:b w:val="0"/>
                <w:i w:val="0"/>
                <w:color w:val="000000"/>
                <w:sz w:val="20"/>
                <w:u w:val="none"/>
              </w:rPr>
              <w:t>$</w:t>
              <w:tab/>
              <w:t>2,723</w:t>
              <w:tab/>
            </w:r>
          </w:p>
        </w:tc>
      </w:tr>
    </w:tbl>
    <w:p>
      <w:pPr>
        <w:keepNext/>
        <w:keepLines/>
        <w:pageBreakBefore w:val="0"/>
        <w:widowControl w:val="0"/>
        <w:numPr>
          <w:ilvl w:val="0"/>
          <w:numId w:val="0"/>
        </w:numPr>
        <w:spacing w:before="0" w:after="0" w:line="288" w:lineRule="auto"/>
        <w:ind w:left="0" w:right="0" w:firstLine="720"/>
        <w:jc w:val="left"/>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Future minimum commitments over the life of all operating and financing leases, which exclude variable rent payments, are as follows for the period presented below (in thousands):</w:t>
      </w:r>
    </w:p>
    <w:tbl>
      <w:tblPr>
        <w:tblStyle w:val="TableNormal0"/>
        <w:tblW w:w="6360" w:type="dxa"/>
        <w:jc w:val="center"/>
        <w:tblLayout w:type="fixed"/>
      </w:tblPr>
      <w:tblGrid>
        <w:gridCol w:w="4785"/>
        <w:gridCol w:w="1575"/>
      </w:tblGrid>
      <w:tr>
        <w:tblPrEx>
          <w:tblW w:w="6360" w:type="dxa"/>
          <w:tblLayout w:type="fixed"/>
        </w:tblPrEx>
        <w:trPr>
          <w:trHeight w:hRule="exact" w:val="285"/>
        </w:trPr>
        <w:tc>
          <w:tcPr>
            <w:tcW w:w="478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575" w:type="dxa"/>
            <w:tcBorders>
              <w:top w:val="nil"/>
              <w:left w:val="nil"/>
              <w:bottom w:val="single" w:sz="8" w:space="0" w:color="000000"/>
              <w:right w:val="nil"/>
            </w:tcBorders>
            <w:tcMar>
              <w:top w:w="0" w:type="dxa"/>
              <w:left w:w="53" w:type="dxa"/>
              <w:bottom w:w="0" w:type="dxa"/>
              <w:right w:w="15"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Operating Leases</w:t>
            </w:r>
          </w:p>
        </w:tc>
      </w:tr>
      <w:tr>
        <w:tblPrEx>
          <w:tblW w:w="636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2026 (Remaining)</w:t>
            </w: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42"/>
                <w:tab w:val="left" w:pos="1507"/>
              </w:tabs>
              <w:spacing w:before="33" w:after="30" w:line="240" w:lineRule="auto"/>
              <w:jc w:val="right"/>
            </w:pPr>
            <w:r>
              <w:rPr>
                <w:rFonts w:ascii="Times New Roman" w:eastAsia="Times New Roman" w:hAnsi="Times New Roman" w:cs="Times New Roman"/>
                <w:b w:val="0"/>
                <w:i w:val="0"/>
                <w:color w:val="000000"/>
                <w:sz w:val="20"/>
                <w:u w:val="none"/>
              </w:rPr>
              <w:t>$</w:t>
              <w:tab/>
              <w:t>647</w:t>
              <w:tab/>
            </w:r>
          </w:p>
        </w:tc>
      </w:tr>
      <w:tr>
        <w:tblPrEx>
          <w:tblW w:w="636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2027</w:t>
            </w: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92"/>
                <w:tab w:val="left" w:pos="1507"/>
              </w:tabs>
              <w:spacing w:before="53" w:after="30" w:line="240" w:lineRule="auto"/>
              <w:jc w:val="right"/>
            </w:pPr>
            <w:r>
              <w:rPr>
                <w:rFonts w:ascii="Times New Roman" w:eastAsia="Times New Roman" w:hAnsi="Times New Roman" w:cs="Times New Roman"/>
                <w:b w:val="0"/>
                <w:i w:val="0"/>
                <w:color w:val="000000"/>
                <w:sz w:val="20"/>
                <w:u w:val="none"/>
              </w:rPr>
              <w:tab/>
              <w:t>2,504</w:t>
              <w:tab/>
            </w:r>
          </w:p>
        </w:tc>
      </w:tr>
      <w:tr>
        <w:tblPrEx>
          <w:tblW w:w="636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2028</w:t>
            </w:r>
          </w:p>
        </w:tc>
        <w:tc>
          <w:tcPr>
            <w:tcW w:w="157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992"/>
                <w:tab w:val="left" w:pos="1507"/>
              </w:tabs>
              <w:spacing w:before="53" w:after="30" w:line="240" w:lineRule="auto"/>
              <w:jc w:val="right"/>
            </w:pPr>
            <w:r>
              <w:rPr>
                <w:rFonts w:ascii="Times New Roman" w:eastAsia="Times New Roman" w:hAnsi="Times New Roman" w:cs="Times New Roman"/>
                <w:b w:val="0"/>
                <w:i w:val="0"/>
                <w:color w:val="000000"/>
                <w:sz w:val="20"/>
                <w:u w:val="none"/>
              </w:rPr>
              <w:tab/>
              <w:t>2,110</w:t>
              <w:tab/>
            </w:r>
          </w:p>
        </w:tc>
      </w:tr>
      <w:tr>
        <w:tblPrEx>
          <w:tblW w:w="636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2029</w:t>
            </w: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992"/>
                <w:tab w:val="left" w:pos="1507"/>
              </w:tabs>
              <w:spacing w:before="53" w:after="30" w:line="240" w:lineRule="auto"/>
              <w:jc w:val="right"/>
            </w:pPr>
            <w:r>
              <w:rPr>
                <w:rFonts w:ascii="Times New Roman" w:eastAsia="Times New Roman" w:hAnsi="Times New Roman" w:cs="Times New Roman"/>
                <w:b w:val="0"/>
                <w:i w:val="0"/>
                <w:color w:val="000000"/>
                <w:sz w:val="20"/>
                <w:u w:val="none"/>
              </w:rPr>
              <w:tab/>
              <w:t>1,035</w:t>
              <w:tab/>
            </w:r>
          </w:p>
        </w:tc>
      </w:tr>
      <w:tr>
        <w:tblPrEx>
          <w:tblW w:w="636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2030</w:t>
            </w:r>
          </w:p>
        </w:tc>
        <w:tc>
          <w:tcPr>
            <w:tcW w:w="157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42"/>
                <w:tab w:val="left" w:pos="1507"/>
              </w:tabs>
              <w:spacing w:before="53" w:after="30" w:line="240" w:lineRule="auto"/>
              <w:jc w:val="right"/>
            </w:pPr>
            <w:r>
              <w:rPr>
                <w:rFonts w:ascii="Times New Roman" w:eastAsia="Times New Roman" w:hAnsi="Times New Roman" w:cs="Times New Roman"/>
                <w:b w:val="0"/>
                <w:i w:val="0"/>
                <w:color w:val="000000"/>
                <w:sz w:val="20"/>
                <w:u w:val="none"/>
              </w:rPr>
              <w:tab/>
              <w:t>208</w:t>
              <w:tab/>
            </w:r>
          </w:p>
        </w:tc>
      </w:tr>
      <w:tr>
        <w:tblPrEx>
          <w:tblW w:w="636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2031</w:t>
            </w:r>
          </w:p>
        </w:tc>
        <w:tc>
          <w:tcPr>
            <w:tcW w:w="157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242"/>
                <w:tab w:val="left" w:pos="1507"/>
              </w:tabs>
              <w:spacing w:before="53" w:after="30" w:line="240" w:lineRule="auto"/>
              <w:jc w:val="right"/>
            </w:pPr>
            <w:r>
              <w:rPr>
                <w:rFonts w:ascii="Times New Roman" w:eastAsia="Times New Roman" w:hAnsi="Times New Roman" w:cs="Times New Roman"/>
                <w:b w:val="0"/>
                <w:i w:val="0"/>
                <w:color w:val="000000"/>
                <w:sz w:val="20"/>
                <w:u w:val="none"/>
              </w:rPr>
              <w:tab/>
              <w:t>27</w:t>
              <w:tab/>
            </w:r>
          </w:p>
        </w:tc>
      </w:tr>
      <w:tr>
        <w:tblPrEx>
          <w:tblW w:w="636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minimum lease payments</w:t>
            </w: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992"/>
                <w:tab w:val="left" w:pos="1507"/>
              </w:tabs>
              <w:spacing w:before="33" w:after="30" w:line="240" w:lineRule="auto"/>
              <w:jc w:val="right"/>
            </w:pPr>
            <w:r>
              <w:rPr>
                <w:rFonts w:ascii="Times New Roman" w:eastAsia="Times New Roman" w:hAnsi="Times New Roman" w:cs="Times New Roman"/>
                <w:b w:val="0"/>
                <w:i w:val="0"/>
                <w:color w:val="000000"/>
                <w:sz w:val="20"/>
                <w:u w:val="none"/>
              </w:rPr>
              <w:tab/>
              <w:t>6,531</w:t>
              <w:tab/>
            </w:r>
          </w:p>
        </w:tc>
      </w:tr>
      <w:tr>
        <w:tblPrEx>
          <w:tblW w:w="6360" w:type="dxa"/>
          <w:tblLayout w:type="fixed"/>
        </w:tblPrEx>
        <w:trPr>
          <w:trHeight w:hRule="exact" w:val="285"/>
        </w:trPr>
        <w:tc>
          <w:tcPr>
            <w:tcW w:w="478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Less: imputed interest</w:t>
            </w:r>
          </w:p>
        </w:tc>
        <w:tc>
          <w:tcPr>
            <w:tcW w:w="157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056"/>
              </w:tabs>
              <w:spacing w:before="53" w:after="30" w:line="240" w:lineRule="auto"/>
              <w:jc w:val="right"/>
            </w:pPr>
            <w:r>
              <w:rPr>
                <w:rFonts w:ascii="Times New Roman" w:eastAsia="Times New Roman" w:hAnsi="Times New Roman" w:cs="Times New Roman"/>
                <w:b w:val="0"/>
                <w:i w:val="0"/>
                <w:color w:val="000000"/>
                <w:sz w:val="20"/>
                <w:u w:val="none"/>
              </w:rPr>
              <w:tab/>
              <w:t>(886)</w:t>
            </w:r>
          </w:p>
        </w:tc>
      </w:tr>
      <w:tr>
        <w:tblPrEx>
          <w:tblW w:w="6360" w:type="dxa"/>
          <w:tblLayout w:type="fixed"/>
        </w:tblPrEx>
        <w:trPr>
          <w:trHeight w:hRule="exact" w:val="285"/>
        </w:trPr>
        <w:tc>
          <w:tcPr>
            <w:tcW w:w="478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 lease liabilities</w:t>
            </w:r>
          </w:p>
        </w:tc>
        <w:tc>
          <w:tcPr>
            <w:tcW w:w="157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992"/>
                <w:tab w:val="left" w:pos="1507"/>
              </w:tabs>
              <w:spacing w:before="33" w:after="30" w:line="240" w:lineRule="auto"/>
              <w:jc w:val="right"/>
            </w:pPr>
            <w:r>
              <w:rPr>
                <w:rFonts w:ascii="Times New Roman" w:eastAsia="Times New Roman" w:hAnsi="Times New Roman" w:cs="Times New Roman"/>
                <w:b w:val="0"/>
                <w:i w:val="0"/>
                <w:color w:val="000000"/>
                <w:sz w:val="20"/>
                <w:u w:val="none"/>
              </w:rPr>
              <w:t>$</w:t>
              <w:tab/>
              <w:t>5,645</w:t>
              <w:tab/>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color w:val="000000"/>
          <w:sz w:val="20"/>
          <w:u w:val="none"/>
        </w:rPr>
      </w:pPr>
      <w:r>
        <w:rPr>
          <w:rFonts w:ascii="Times New Roman" w:eastAsia="Times New Roman" w:hAnsi="Times New Roman" w:cs="Times New Roman"/>
          <w:b/>
          <w:i/>
          <w:color w:val="000000"/>
          <w:sz w:val="20"/>
          <w:u w:val="none"/>
        </w:rPr>
        <w:t>Contingencies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Although we have been, are, and in the future may be, the defendant or plaintiff in various actions arising in the normal course of business, as of </w:t>
      </w:r>
      <w:r>
        <w:rPr>
          <w:rFonts w:ascii="Times New Roman" w:eastAsia="Times New Roman" w:hAnsi="Times New Roman" w:cs="Times New Roman"/>
          <w:b w:val="0"/>
          <w:i w:val="0"/>
          <w:color w:val="000000"/>
          <w:sz w:val="20"/>
          <w:highlight w:val="white"/>
          <w:u w:val="none"/>
        </w:rPr>
        <w:t>September 30, 2026</w:t>
      </w:r>
      <w:r>
        <w:rPr>
          <w:rFonts w:ascii="Times New Roman" w:eastAsia="Times New Roman" w:hAnsi="Times New Roman" w:cs="Times New Roman"/>
          <w:b w:val="0"/>
          <w:i w:val="0"/>
          <w:color w:val="000000"/>
          <w:sz w:val="20"/>
          <w:u w:val="none"/>
        </w:rPr>
        <w:t>, we were not currently a party to any material legal proceedings.</w:t>
      </w: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color w:val="000000"/>
          <w:sz w:val="20"/>
          <w:u w:val="none"/>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3"/>
        <w:rPr>
          <w:rFonts w:ascii="Times New Roman" w:eastAsia="Times New Roman" w:hAnsi="Times New Roman" w:cs="Times New Roman"/>
          <w:b/>
          <w:i w:val="0"/>
          <w:sz w:val="20"/>
        </w:rPr>
      </w:pPr>
      <w:bookmarkStart w:id="17" w:name="Section18"/>
      <w:bookmarkEnd w:id="17"/>
      <w:r>
        <w:rPr>
          <w:rFonts w:ascii="Times New Roman" w:eastAsia="Times New Roman" w:hAnsi="Times New Roman" w:cs="Times New Roman"/>
          <w:b/>
          <w:i w:val="0"/>
          <w:color w:val="000000"/>
          <w:sz w:val="20"/>
          <w:highlight w:val="white"/>
          <w:u w:val="none"/>
        </w:rPr>
        <w:t xml:space="preserve">NOTE 9 - </w:t>
      </w:r>
      <w:r>
        <w:rPr>
          <w:rFonts w:ascii="Times New Roman" w:eastAsia="Times New Roman" w:hAnsi="Times New Roman" w:cs="Times New Roman"/>
          <w:b/>
          <w:i w:val="0"/>
          <w:color w:val="000000"/>
          <w:sz w:val="20"/>
          <w:highlight w:val="white"/>
          <w:u w:val="none"/>
        </w:rPr>
        <w:t>SHARE-BASED COMPENSATION</w:t>
      </w:r>
    </w:p>
    <w:p>
      <w:pPr>
        <w:keepNext/>
        <w:keepLines/>
        <w:pageBreakBefore w:val="0"/>
        <w:widowControl w:val="0"/>
        <w:numPr>
          <w:ilvl w:val="0"/>
          <w:numId w:val="0"/>
        </w:numPr>
        <w:spacing w:before="0" w:after="0" w:line="288" w:lineRule="auto"/>
        <w:ind w:left="900" w:right="0" w:hanging="90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val="0"/>
          <w:i w:val="0"/>
          <w:color w:val="000000"/>
          <w:sz w:val="20"/>
          <w:u w:val="none"/>
        </w:rPr>
        <w:t xml:space="preserve">We have one active equity plan, the 2018 Incentive Award Plan (the “2018 Plan”). The 2018 Plan, approved by our stockholders, replaced our 2009 Equity Incentive Plan, as amended (the “2009 Plan”); however, the terms and conditions of the 2009 Plan will continue to govern any outstanding awards granted thereunder. </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number of shares reserved for issuance under the 2018 Plan is </w:t>
      </w:r>
      <w:r>
        <w:rPr>
          <w:rFonts w:ascii="Times New Roman" w:eastAsia="Times New Roman" w:hAnsi="Times New Roman" w:cs="Times New Roman"/>
          <w:b w:val="0"/>
          <w:i w:val="0"/>
          <w:color w:val="000000"/>
          <w:sz w:val="20"/>
          <w:u w:val="none"/>
        </w:rPr>
        <w:t>6,998</w:t>
      </w:r>
      <w:r>
        <w:rPr>
          <w:rFonts w:ascii="Times New Roman" w:eastAsia="Times New Roman" w:hAnsi="Times New Roman" w:cs="Times New Roman"/>
          <w:b w:val="0"/>
          <w:i w:val="0"/>
          <w:color w:val="000000"/>
          <w:sz w:val="20"/>
          <w:u w:val="none"/>
        </w:rPr>
        <w:t xml:space="preserve"> shares. We have an aggregate of </w:t>
      </w:r>
      <w:r>
        <w:rPr>
          <w:rFonts w:ascii="Times New Roman" w:eastAsia="Times New Roman" w:hAnsi="Times New Roman" w:cs="Times New Roman"/>
          <w:b w:val="0"/>
          <w:i w:val="0"/>
          <w:color w:val="000000"/>
          <w:sz w:val="20"/>
          <w:u w:val="none"/>
        </w:rPr>
        <w:t>1,998</w:t>
      </w:r>
      <w:r>
        <w:rPr>
          <w:rFonts w:ascii="Times New Roman" w:eastAsia="Times New Roman" w:hAnsi="Times New Roman" w:cs="Times New Roman"/>
          <w:b w:val="0"/>
          <w:i w:val="0"/>
          <w:color w:val="000000"/>
          <w:sz w:val="20"/>
          <w:u w:val="none"/>
        </w:rPr>
        <w:t xml:space="preserve"> options, restricted stock units (“RSUs”) and performance stock units (“PSUs”) granted and outstanding pursuant to the 2018 Plan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the number of shares available for future grant under the 2018 Plan</w:t>
      </w:r>
      <w:r>
        <w:rPr>
          <w:rFonts w:ascii="Times New Roman" w:eastAsia="Times New Roman" w:hAnsi="Times New Roman" w:cs="Times New Roman"/>
          <w:b w:val="0"/>
          <w:i w:val="0"/>
          <w:color w:val="000000"/>
          <w:sz w:val="20"/>
          <w:highlight w:val="white"/>
          <w:u w:val="none"/>
        </w:rPr>
        <w:t xml:space="preserve"> is</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2,096</w:t>
      </w:r>
      <w:r>
        <w:rPr>
          <w:rFonts w:ascii="Times New Roman" w:eastAsia="Times New Roman" w:hAnsi="Times New Roman" w:cs="Times New Roman"/>
          <w:b w:val="0"/>
          <w:i w:val="0"/>
          <w:color w:val="000000"/>
          <w:sz w:val="20"/>
          <w:u w:val="none"/>
        </w:rPr>
        <w:t xml:space="preserve">. </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Share-based compensation for our stock option plans for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highlight w:val="white"/>
          <w:u w:val="none"/>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w:t>
      </w:r>
      <w:r>
        <w:rPr>
          <w:rFonts w:ascii="Times New Roman" w:eastAsia="Times New Roman" w:hAnsi="Times New Roman" w:cs="Times New Roman"/>
          <w:b w:val="0"/>
          <w:i w:val="0"/>
          <w:color w:val="000000"/>
          <w:sz w:val="20"/>
          <w:highlight w:val="white"/>
          <w:u w:val="none"/>
        </w:rPr>
        <w:t xml:space="preserve"> was </w:t>
      </w:r>
      <w:r>
        <w:rPr>
          <w:rFonts w:ascii="Times New Roman" w:eastAsia="Times New Roman" w:hAnsi="Times New Roman" w:cs="Times New Roman"/>
          <w:b w:val="0"/>
          <w:i w:val="0"/>
          <w:color w:val="000000"/>
          <w:sz w:val="20"/>
          <w:u w:val="none"/>
        </w:rPr>
        <w:t>$1,962</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u w:val="none"/>
        </w:rPr>
        <w:t>$6,243</w:t>
      </w:r>
      <w:r>
        <w:rPr>
          <w:rFonts w:ascii="Times New Roman" w:eastAsia="Times New Roman" w:hAnsi="Times New Roman" w:cs="Times New Roman"/>
          <w:b w:val="0"/>
          <w:i w:val="0"/>
          <w:color w:val="000000"/>
          <w:sz w:val="20"/>
          <w:highlight w:val="white"/>
          <w:u w:val="none"/>
        </w:rPr>
        <w:t xml:space="preserve">, respectively, and for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highlight w:val="white"/>
          <w:u w:val="none"/>
        </w:rPr>
        <w:t xml:space="preserve"> months ended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color w:val="000000"/>
          <w:sz w:val="20"/>
          <w:u w:val="none"/>
        </w:rPr>
        <w:t>,</w:t>
      </w:r>
      <w:r>
        <w:rPr>
          <w:rFonts w:ascii="Times New Roman" w:eastAsia="Times New Roman" w:hAnsi="Times New Roman" w:cs="Times New Roman"/>
          <w:b w:val="0"/>
          <w:i w:val="0"/>
          <w:color w:val="000000"/>
          <w:sz w:val="20"/>
          <w:highlight w:val="white"/>
          <w:u w:val="none"/>
        </w:rPr>
        <w:t xml:space="preserve"> was </w:t>
      </w:r>
      <w:r>
        <w:rPr>
          <w:rFonts w:ascii="Times New Roman" w:eastAsia="Times New Roman" w:hAnsi="Times New Roman" w:cs="Times New Roman"/>
          <w:b w:val="0"/>
          <w:i w:val="0"/>
          <w:color w:val="000000"/>
          <w:sz w:val="20"/>
          <w:u w:val="none"/>
        </w:rPr>
        <w:t>$1,967</w:t>
      </w:r>
      <w:r>
        <w:rPr>
          <w:rFonts w:ascii="Times New Roman" w:eastAsia="Times New Roman" w:hAnsi="Times New Roman" w:cs="Times New Roman"/>
          <w:b w:val="0"/>
          <w:i w:val="0"/>
          <w:color w:val="000000"/>
          <w:sz w:val="20"/>
          <w:highlight w:val="white"/>
          <w:u w:val="none"/>
        </w:rPr>
        <w:t xml:space="preserve"> and </w:t>
      </w:r>
      <w:r>
        <w:rPr>
          <w:rFonts w:ascii="Times New Roman" w:eastAsia="Times New Roman" w:hAnsi="Times New Roman" w:cs="Times New Roman"/>
          <w:b w:val="0"/>
          <w:i w:val="0"/>
          <w:color w:val="000000"/>
          <w:sz w:val="20"/>
          <w:u w:val="none"/>
        </w:rPr>
        <w:t>$5,721</w:t>
      </w:r>
      <w:r>
        <w:rPr>
          <w:rFonts w:ascii="Times New Roman" w:eastAsia="Times New Roman" w:hAnsi="Times New Roman" w:cs="Times New Roman"/>
          <w:b w:val="0"/>
          <w:i w:val="0"/>
          <w:color w:val="000000"/>
          <w:sz w:val="20"/>
          <w:highlight w:val="white"/>
          <w:u w:val="none"/>
        </w:rPr>
        <w:t>, respectively</w:t>
      </w:r>
      <w:r>
        <w:rPr>
          <w:rFonts w:ascii="Times New Roman" w:eastAsia="Times New Roman" w:hAnsi="Times New Roman" w:cs="Times New Roman"/>
          <w:b w:val="0"/>
          <w:i w:val="0"/>
          <w:color w:val="000000"/>
          <w:sz w:val="20"/>
          <w:u w:val="none"/>
        </w:rPr>
        <w:t>.</w:t>
      </w:r>
      <w:r>
        <w:rPr>
          <w:rFonts w:ascii="Times New Roman" w:eastAsia="Times New Roman" w:hAnsi="Times New Roman" w:cs="Times New Roman"/>
          <w:b w:val="0"/>
          <w:i w:val="0"/>
          <w:color w:val="000000"/>
          <w:sz w:val="20"/>
          <w:u w:val="none"/>
        </w:rPr>
        <w:t xml:space="preserve"> Issuance of common stock related to the exercise of stock options and the vesting of restricted stock units (including restricted stock units that converted from performance stock units) are as follows for the period presented below (in thousands):</w:t>
      </w:r>
    </w:p>
    <w:tbl>
      <w:tblPr>
        <w:tblStyle w:val="TableNormal0"/>
        <w:tblW w:w="10185" w:type="dxa"/>
        <w:jc w:val="center"/>
        <w:tblLayout w:type="fixed"/>
      </w:tblPr>
      <w:tblGrid>
        <w:gridCol w:w="3705"/>
        <w:gridCol w:w="1575"/>
        <w:gridCol w:w="60"/>
        <w:gridCol w:w="1575"/>
        <w:gridCol w:w="60"/>
        <w:gridCol w:w="1575"/>
        <w:gridCol w:w="60"/>
        <w:gridCol w:w="1575"/>
      </w:tblGrid>
      <w:tr>
        <w:tblPrEx>
          <w:tblW w:w="10185" w:type="dxa"/>
          <w:tblLayout w:type="fixed"/>
        </w:tblPrEx>
        <w:trPr>
          <w:trHeight w:hRule="exact" w:val="285"/>
        </w:trPr>
        <w:tc>
          <w:tcPr>
            <w:tcW w:w="37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3210" w:type="dxa"/>
            <w:gridSpan w:val="3"/>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Three Months Ended September 30,</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210" w:type="dxa"/>
            <w:gridSpan w:val="3"/>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Nine Months Ended September 30,</w:t>
            </w:r>
          </w:p>
        </w:tc>
      </w:tr>
      <w:tr>
        <w:tblPrEx>
          <w:tblW w:w="10185" w:type="dxa"/>
          <w:tblLayout w:type="fixed"/>
        </w:tblPrEx>
        <w:trPr>
          <w:trHeight w:hRule="exact" w:val="315"/>
        </w:trPr>
        <w:tc>
          <w:tcPr>
            <w:tcW w:w="37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57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r>
      <w:tr>
        <w:tblPrEx>
          <w:tblW w:w="10185" w:type="dxa"/>
          <w:tblLayout w:type="fixed"/>
        </w:tblPrEx>
        <w:trPr>
          <w:trHeight w:hRule="exact" w:val="315"/>
        </w:trPr>
        <w:tc>
          <w:tcPr>
            <w:tcW w:w="37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numPr>
                <w:ilvl w:val="0"/>
                <w:numId w:val="0"/>
              </w:numPr>
              <w:spacing w:before="3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Common stock issued - options</w:t>
            </w:r>
            <w:r>
              <w:rPr>
                <w:rFonts w:ascii="Times New Roman" w:eastAsia="Times New Roman" w:hAnsi="Times New Roman" w:cs="Times New Roman"/>
                <w:b w:val="0"/>
                <w:i w:val="0"/>
                <w:sz w:val="20"/>
                <w:vertAlign w:val="superscript"/>
              </w:rPr>
              <w:t>(1)</w:t>
            </w: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42"/>
                <w:tab w:val="left" w:pos="1507"/>
              </w:tabs>
              <w:spacing w:before="33" w:after="30" w:line="240" w:lineRule="auto"/>
              <w:jc w:val="right"/>
            </w:pPr>
            <w:r>
              <w:rPr>
                <w:rFonts w:ascii="Times New Roman" w:eastAsia="Times New Roman" w:hAnsi="Times New Roman" w:cs="Times New Roman"/>
                <w:b w:val="0"/>
                <w:i w:val="0"/>
                <w:color w:val="000000"/>
                <w:sz w:val="20"/>
                <w:u w:val="none"/>
              </w:rPr>
              <w:tab/>
              <w:t>3</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342"/>
                <w:tab w:val="left" w:pos="1507"/>
              </w:tabs>
              <w:spacing w:before="33" w:after="30" w:line="240" w:lineRule="auto"/>
              <w:jc w:val="right"/>
            </w:pPr>
            <w:r>
              <w:rPr>
                <w:rFonts w:ascii="Times New Roman" w:eastAsia="Times New Roman" w:hAnsi="Times New Roman" w:cs="Times New Roman"/>
                <w:b w:val="0"/>
                <w:i w:val="0"/>
                <w:color w:val="000000"/>
                <w:sz w:val="20"/>
                <w:u w:val="none"/>
              </w:rPr>
              <w:tab/>
              <w:t>4</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42"/>
                <w:tab w:val="left" w:pos="1507"/>
              </w:tabs>
              <w:spacing w:before="33" w:after="30" w:line="240" w:lineRule="auto"/>
              <w:jc w:val="right"/>
            </w:pPr>
            <w:r>
              <w:rPr>
                <w:rFonts w:ascii="Times New Roman" w:eastAsia="Times New Roman" w:hAnsi="Times New Roman" w:cs="Times New Roman"/>
                <w:b w:val="0"/>
                <w:i w:val="0"/>
                <w:color w:val="000000"/>
                <w:sz w:val="20"/>
                <w:u w:val="none"/>
              </w:rPr>
              <w:tab/>
              <w:t>351</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7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142"/>
                <w:tab w:val="left" w:pos="1507"/>
              </w:tabs>
              <w:spacing w:before="33" w:after="30" w:line="240" w:lineRule="auto"/>
              <w:jc w:val="right"/>
            </w:pPr>
            <w:r>
              <w:rPr>
                <w:rFonts w:ascii="Times New Roman" w:eastAsia="Times New Roman" w:hAnsi="Times New Roman" w:cs="Times New Roman"/>
                <w:b w:val="0"/>
                <w:i w:val="0"/>
                <w:color w:val="000000"/>
                <w:sz w:val="20"/>
                <w:u w:val="none"/>
              </w:rPr>
              <w:tab/>
              <w:t>369</w:t>
              <w:tab/>
            </w:r>
          </w:p>
        </w:tc>
      </w:tr>
      <w:tr>
        <w:tblPrEx>
          <w:tblW w:w="10185" w:type="dxa"/>
          <w:tblLayout w:type="fixed"/>
        </w:tblPrEx>
        <w:trPr>
          <w:trHeight w:hRule="exact" w:val="315"/>
        </w:trPr>
        <w:tc>
          <w:tcPr>
            <w:tcW w:w="3705" w:type="dxa"/>
            <w:tcBorders>
              <w:top w:val="nil"/>
              <w:left w:val="nil"/>
              <w:bottom w:val="nil"/>
              <w:right w:val="nil"/>
            </w:tcBorders>
            <w:tcMar>
              <w:top w:w="0" w:type="dxa"/>
              <w:left w:w="53" w:type="dxa"/>
              <w:bottom w:w="0" w:type="dxa"/>
              <w:right w:w="53" w:type="dxa"/>
            </w:tcMar>
            <w:vAlign w:val="bottom"/>
          </w:tcPr>
          <w:p>
            <w:pPr>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Common stock issued - RSU</w:t>
            </w:r>
            <w:r>
              <w:rPr>
                <w:rFonts w:ascii="Times New Roman" w:eastAsia="Times New Roman" w:hAnsi="Times New Roman" w:cs="Times New Roman"/>
                <w:b w:val="0"/>
                <w:i w:val="0"/>
                <w:sz w:val="20"/>
                <w:vertAlign w:val="superscript"/>
              </w:rPr>
              <w:t>(1)(2)</w:t>
            </w:r>
          </w:p>
        </w:tc>
        <w:tc>
          <w:tcPr>
            <w:tcW w:w="1575" w:type="dxa"/>
            <w:tcBorders>
              <w:top w:val="nil"/>
              <w:left w:val="nil"/>
              <w:bottom w:val="nil"/>
              <w:right w:val="nil"/>
            </w:tcBorders>
            <w:tcMar>
              <w:top w:w="0" w:type="dxa"/>
              <w:left w:w="0" w:type="dxa"/>
              <w:bottom w:w="0" w:type="dxa"/>
              <w:right w:w="15" w:type="dxa"/>
            </w:tcMar>
            <w:vAlign w:val="bottom"/>
          </w:tcPr>
          <w:p>
            <w:pPr>
              <w:pageBreakBefore w:val="0"/>
              <w:tabs>
                <w:tab w:val="left" w:pos="1142"/>
                <w:tab w:val="left" w:pos="1507"/>
              </w:tabs>
              <w:spacing w:before="53" w:after="30" w:line="240" w:lineRule="auto"/>
              <w:jc w:val="right"/>
            </w:pPr>
            <w:r>
              <w:rPr>
                <w:rFonts w:ascii="Times New Roman" w:eastAsia="Times New Roman" w:hAnsi="Times New Roman" w:cs="Times New Roman"/>
                <w:b w:val="0"/>
                <w:i w:val="0"/>
                <w:color w:val="000000"/>
                <w:sz w:val="20"/>
                <w:u w:val="none"/>
              </w:rPr>
              <w:tab/>
              <w:t>107</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rPr>
            </w:pPr>
          </w:p>
        </w:tc>
        <w:tc>
          <w:tcPr>
            <w:tcW w:w="1575"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1142"/>
                <w:tab w:val="left" w:pos="1507"/>
              </w:tabs>
              <w:spacing w:before="53" w:after="30" w:line="240" w:lineRule="auto"/>
              <w:jc w:val="right"/>
            </w:pPr>
            <w:r>
              <w:rPr>
                <w:rFonts w:ascii="Times New Roman" w:eastAsia="Times New Roman" w:hAnsi="Times New Roman" w:cs="Times New Roman"/>
                <w:b w:val="0"/>
                <w:i w:val="0"/>
                <w:color w:val="000000"/>
                <w:sz w:val="20"/>
                <w:u w:val="none"/>
              </w:rPr>
              <w:tab/>
              <w:t>100</w:t>
              <w:tab/>
            </w:r>
          </w:p>
        </w:tc>
        <w:tc>
          <w:tcPr>
            <w:tcW w:w="6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rPr>
            </w:pPr>
          </w:p>
        </w:tc>
        <w:tc>
          <w:tcPr>
            <w:tcW w:w="1575" w:type="dxa"/>
            <w:tcBorders>
              <w:top w:val="nil"/>
              <w:left w:val="nil"/>
              <w:bottom w:val="nil"/>
              <w:right w:val="nil"/>
            </w:tcBorders>
            <w:tcMar>
              <w:top w:w="0" w:type="dxa"/>
              <w:left w:w="0" w:type="dxa"/>
              <w:bottom w:w="0" w:type="dxa"/>
              <w:right w:w="15" w:type="dxa"/>
            </w:tcMar>
            <w:vAlign w:val="bottom"/>
          </w:tcPr>
          <w:p>
            <w:pPr>
              <w:pageBreakBefore w:val="0"/>
              <w:tabs>
                <w:tab w:val="left" w:pos="1142"/>
                <w:tab w:val="left" w:pos="1507"/>
              </w:tabs>
              <w:spacing w:before="53" w:after="30" w:line="240" w:lineRule="auto"/>
              <w:jc w:val="right"/>
            </w:pPr>
            <w:r>
              <w:rPr>
                <w:rFonts w:ascii="Times New Roman" w:eastAsia="Times New Roman" w:hAnsi="Times New Roman" w:cs="Times New Roman"/>
                <w:b w:val="0"/>
                <w:i w:val="0"/>
                <w:color w:val="000000"/>
                <w:sz w:val="20"/>
                <w:u w:val="none"/>
              </w:rPr>
              <w:tab/>
              <w:t>745</w:t>
              <w:tab/>
            </w:r>
          </w:p>
        </w:tc>
        <w:tc>
          <w:tcPr>
            <w:tcW w:w="6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rPr>
            </w:pPr>
          </w:p>
        </w:tc>
        <w:tc>
          <w:tcPr>
            <w:tcW w:w="1575" w:type="dxa"/>
            <w:tcBorders>
              <w:top w:val="nil"/>
              <w:left w:val="nil"/>
              <w:bottom w:val="nil"/>
              <w:right w:val="nil"/>
            </w:tcBorders>
            <w:tcMar>
              <w:top w:w="0" w:type="dxa"/>
              <w:left w:w="0" w:type="dxa"/>
              <w:bottom w:w="0" w:type="dxa"/>
              <w:right w:w="15" w:type="dxa"/>
            </w:tcMar>
            <w:vAlign w:val="bottom"/>
          </w:tcPr>
          <w:p>
            <w:pPr>
              <w:pageBreakBefore w:val="0"/>
              <w:tabs>
                <w:tab w:val="left" w:pos="1142"/>
                <w:tab w:val="left" w:pos="1507"/>
              </w:tabs>
              <w:spacing w:before="53" w:after="30" w:line="240" w:lineRule="auto"/>
              <w:jc w:val="right"/>
            </w:pPr>
            <w:r>
              <w:rPr>
                <w:rFonts w:ascii="Times New Roman" w:eastAsia="Times New Roman" w:hAnsi="Times New Roman" w:cs="Times New Roman"/>
                <w:b w:val="0"/>
                <w:i w:val="0"/>
                <w:color w:val="000000"/>
                <w:sz w:val="20"/>
                <w:u w:val="none"/>
              </w:rPr>
              <w:tab/>
              <w:t>555</w:t>
              <w:tab/>
            </w:r>
          </w:p>
        </w:tc>
      </w:tr>
    </w:tbl>
    <w:p>
      <w:pPr>
        <w:keepNext w:val="0"/>
        <w:keepLines/>
        <w:pageBreakBefore w:val="0"/>
        <w:widowControl w:val="0"/>
        <w:numPr>
          <w:ilvl w:val="0"/>
          <w:numId w:val="16"/>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 xml:space="preserve">Included in these amounts are </w:t>
      </w:r>
      <w:r>
        <w:rPr>
          <w:rFonts w:ascii="Times New Roman" w:eastAsia="Times New Roman" w:hAnsi="Times New Roman" w:cs="Times New Roman"/>
          <w:b w:val="0"/>
          <w:i w:val="0"/>
          <w:color w:val="000000"/>
          <w:sz w:val="16"/>
          <w:u w:val="none"/>
        </w:rPr>
        <w:t>13</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349</w:t>
      </w:r>
      <w:r>
        <w:rPr>
          <w:rFonts w:ascii="Times New Roman" w:eastAsia="Times New Roman" w:hAnsi="Times New Roman" w:cs="Times New Roman"/>
          <w:b w:val="0"/>
          <w:i w:val="0"/>
          <w:color w:val="000000"/>
          <w:sz w:val="16"/>
          <w:u w:val="none"/>
        </w:rPr>
        <w:t xml:space="preserve"> shares withheld for taxes or in connection with a cashless exercise of options during the </w:t>
      </w:r>
      <w:r>
        <w:rPr>
          <w:rFonts w:ascii="Times New Roman" w:eastAsia="Times New Roman" w:hAnsi="Times New Roman" w:cs="Times New Roman"/>
          <w:b w:val="0"/>
          <w:i w:val="0"/>
          <w:color w:val="000000"/>
          <w:sz w:val="16"/>
          <w:u w:val="none"/>
        </w:rPr>
        <w:t>three and nine</w:t>
      </w:r>
      <w:r>
        <w:rPr>
          <w:rFonts w:ascii="Times New Roman" w:eastAsia="Times New Roman" w:hAnsi="Times New Roman" w:cs="Times New Roman"/>
          <w:b w:val="0"/>
          <w:i w:val="0"/>
          <w:color w:val="000000"/>
          <w:sz w:val="16"/>
          <w:u w:val="none"/>
        </w:rPr>
        <w:t xml:space="preserve"> months ended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color w:val="000000"/>
          <w:sz w:val="16"/>
          <w:u w:val="none"/>
        </w:rPr>
        <w:t xml:space="preserve">, respectively, and </w:t>
      </w:r>
      <w:r>
        <w:rPr>
          <w:rFonts w:ascii="Times New Roman" w:eastAsia="Times New Roman" w:hAnsi="Times New Roman" w:cs="Times New Roman"/>
          <w:b w:val="0"/>
          <w:i w:val="0"/>
          <w:color w:val="000000"/>
          <w:sz w:val="16"/>
          <w:u w:val="none"/>
        </w:rPr>
        <w:t>4</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184</w:t>
      </w:r>
      <w:r>
        <w:rPr>
          <w:rFonts w:ascii="Times New Roman" w:eastAsia="Times New Roman" w:hAnsi="Times New Roman" w:cs="Times New Roman"/>
          <w:b w:val="0"/>
          <w:i w:val="0"/>
          <w:color w:val="000000"/>
          <w:sz w:val="16"/>
          <w:u w:val="none"/>
        </w:rPr>
        <w:t xml:space="preserve"> shares withheld for taxes or in connection with a cashless exercise of options during the </w:t>
      </w:r>
      <w:r>
        <w:rPr>
          <w:rFonts w:ascii="Times New Roman" w:eastAsia="Times New Roman" w:hAnsi="Times New Roman" w:cs="Times New Roman"/>
          <w:b w:val="0"/>
          <w:i w:val="0"/>
          <w:color w:val="000000"/>
          <w:sz w:val="16"/>
          <w:u w:val="none"/>
        </w:rPr>
        <w:t>three and nine</w:t>
      </w:r>
      <w:r>
        <w:rPr>
          <w:rFonts w:ascii="Times New Roman" w:eastAsia="Times New Roman" w:hAnsi="Times New Roman" w:cs="Times New Roman"/>
          <w:b w:val="0"/>
          <w:i w:val="0"/>
          <w:color w:val="000000"/>
          <w:sz w:val="16"/>
          <w:u w:val="none"/>
        </w:rPr>
        <w:t xml:space="preserve"> months ended </w:t>
      </w:r>
      <w:r>
        <w:rPr>
          <w:rFonts w:ascii="Times New Roman" w:eastAsia="Times New Roman" w:hAnsi="Times New Roman" w:cs="Times New Roman"/>
          <w:b w:val="0"/>
          <w:i w:val="0"/>
          <w:color w:val="000000"/>
          <w:sz w:val="16"/>
          <w:u w:val="none"/>
        </w:rPr>
        <w:t>September 30, 2025</w:t>
      </w:r>
      <w:r>
        <w:rPr>
          <w:rFonts w:ascii="Times New Roman" w:eastAsia="Times New Roman" w:hAnsi="Times New Roman" w:cs="Times New Roman"/>
          <w:b w:val="0"/>
          <w:i w:val="0"/>
          <w:color w:val="000000"/>
          <w:sz w:val="16"/>
          <w:u w:val="none"/>
        </w:rPr>
        <w:t>.</w:t>
      </w:r>
    </w:p>
    <w:p>
      <w:pPr>
        <w:keepNext w:val="0"/>
        <w:keepLines/>
        <w:pageBreakBefore w:val="0"/>
        <w:widowControl w:val="0"/>
        <w:numPr>
          <w:ilvl w:val="0"/>
          <w:numId w:val="16"/>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 xml:space="preserve">Included in these amounts are </w:t>
      </w:r>
      <w:r>
        <w:rPr>
          <w:rFonts w:ascii="Times New Roman" w:eastAsia="Times New Roman" w:hAnsi="Times New Roman" w:cs="Times New Roman"/>
          <w:b w:val="0"/>
          <w:i w:val="0"/>
          <w:color w:val="000000"/>
          <w:sz w:val="16"/>
          <w:u w:val="none"/>
        </w:rPr>
        <w:t>21</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339</w:t>
      </w:r>
      <w:r>
        <w:rPr>
          <w:rFonts w:ascii="Times New Roman" w:eastAsia="Times New Roman" w:hAnsi="Times New Roman" w:cs="Times New Roman"/>
          <w:b w:val="0"/>
          <w:i w:val="0"/>
          <w:color w:val="000000"/>
          <w:sz w:val="16"/>
          <w:u w:val="none"/>
        </w:rPr>
        <w:t xml:space="preserve"> restricted stock units during the </w:t>
      </w:r>
      <w:r>
        <w:rPr>
          <w:rFonts w:ascii="Times New Roman" w:eastAsia="Times New Roman" w:hAnsi="Times New Roman" w:cs="Times New Roman"/>
          <w:b w:val="0"/>
          <w:i w:val="0"/>
          <w:color w:val="000000"/>
          <w:sz w:val="16"/>
          <w:u w:val="none"/>
        </w:rPr>
        <w:t>three and nine</w:t>
      </w:r>
      <w:r>
        <w:rPr>
          <w:rFonts w:ascii="Times New Roman" w:eastAsia="Times New Roman" w:hAnsi="Times New Roman" w:cs="Times New Roman"/>
          <w:b w:val="0"/>
          <w:i w:val="0"/>
          <w:color w:val="000000"/>
          <w:sz w:val="16"/>
          <w:u w:val="none"/>
        </w:rPr>
        <w:t xml:space="preserve"> months ended </w:t>
      </w:r>
      <w:r>
        <w:rPr>
          <w:rFonts w:ascii="Times New Roman" w:eastAsia="Times New Roman" w:hAnsi="Times New Roman" w:cs="Times New Roman"/>
          <w:b w:val="0"/>
          <w:i w:val="0"/>
          <w:color w:val="000000"/>
          <w:sz w:val="16"/>
          <w:u w:val="none"/>
        </w:rPr>
        <w:t>September 30, 2026</w:t>
      </w:r>
      <w:r>
        <w:rPr>
          <w:rFonts w:ascii="Times New Roman" w:eastAsia="Times New Roman" w:hAnsi="Times New Roman" w:cs="Times New Roman"/>
          <w:b w:val="0"/>
          <w:i w:val="0"/>
          <w:color w:val="000000"/>
          <w:sz w:val="16"/>
          <w:u w:val="none"/>
        </w:rPr>
        <w:t xml:space="preserve">, and </w:t>
      </w:r>
      <w:r>
        <w:rPr>
          <w:rFonts w:ascii="Times New Roman" w:eastAsia="Times New Roman" w:hAnsi="Times New Roman" w:cs="Times New Roman"/>
          <w:b w:val="0"/>
          <w:i w:val="0"/>
          <w:color w:val="000000"/>
          <w:sz w:val="16"/>
          <w:u w:val="none"/>
        </w:rPr>
        <w:t>159</w:t>
      </w:r>
      <w:r>
        <w:rPr>
          <w:rFonts w:ascii="Times New Roman" w:eastAsia="Times New Roman" w:hAnsi="Times New Roman" w:cs="Times New Roman"/>
          <w:b w:val="0"/>
          <w:i w:val="0"/>
          <w:color w:val="000000"/>
          <w:sz w:val="16"/>
          <w:u w:val="none"/>
        </w:rPr>
        <w:t xml:space="preserve"> restricted stock units during the </w:t>
      </w:r>
      <w:r>
        <w:rPr>
          <w:rFonts w:ascii="Times New Roman" w:eastAsia="Times New Roman" w:hAnsi="Times New Roman" w:cs="Times New Roman"/>
          <w:b w:val="0"/>
          <w:i w:val="0"/>
          <w:color w:val="000000"/>
          <w:sz w:val="16"/>
          <w:u w:val="none"/>
        </w:rPr>
        <w:t>nine</w:t>
      </w:r>
      <w:r>
        <w:rPr>
          <w:rFonts w:ascii="Times New Roman" w:eastAsia="Times New Roman" w:hAnsi="Times New Roman" w:cs="Times New Roman"/>
          <w:b w:val="0"/>
          <w:i w:val="0"/>
          <w:color w:val="000000"/>
          <w:sz w:val="16"/>
          <w:u w:val="none"/>
        </w:rPr>
        <w:t xml:space="preserve"> months ended </w:t>
      </w:r>
      <w:r>
        <w:rPr>
          <w:rFonts w:ascii="Times New Roman" w:eastAsia="Times New Roman" w:hAnsi="Times New Roman" w:cs="Times New Roman"/>
          <w:b w:val="0"/>
          <w:i w:val="0"/>
          <w:color w:val="000000"/>
          <w:sz w:val="16"/>
          <w:u w:val="none"/>
        </w:rPr>
        <w:t>September 30, 2025</w:t>
      </w:r>
      <w:r>
        <w:rPr>
          <w:rFonts w:ascii="Times New Roman" w:eastAsia="Times New Roman" w:hAnsi="Times New Roman" w:cs="Times New Roman"/>
          <w:b w:val="0"/>
          <w:i w:val="0"/>
          <w:color w:val="000000"/>
          <w:sz w:val="16"/>
          <w:u w:val="none"/>
        </w:rPr>
        <w:t xml:space="preserve">, that were converted from performance stock units which vested during those periods. </w:t>
      </w:r>
      <w:r>
        <w:rPr>
          <w:rFonts w:ascii="Times New Roman" w:eastAsia="Times New Roman" w:hAnsi="Times New Roman" w:cs="Times New Roman"/>
          <w:b w:val="0"/>
          <w:i w:val="0"/>
          <w:color w:val="000000"/>
          <w:sz w:val="16"/>
          <w:u w:val="none"/>
        </w:rPr>
        <w:t xml:space="preserve">There were no stock units converted from performance stock units during the three months ended </w:t>
      </w:r>
      <w:r>
        <w:rPr>
          <w:rFonts w:ascii="Times New Roman" w:eastAsia="Times New Roman" w:hAnsi="Times New Roman" w:cs="Times New Roman"/>
          <w:b w:val="0"/>
          <w:i w:val="0"/>
          <w:color w:val="000000"/>
          <w:sz w:val="16"/>
          <w:u w:val="none"/>
        </w:rPr>
        <w:t>September 30, 2025</w:t>
      </w:r>
      <w:r>
        <w:rPr>
          <w:rFonts w:ascii="Times New Roman" w:eastAsia="Times New Roman" w:hAnsi="Times New Roman" w:cs="Times New Roman"/>
          <w:b w:val="0"/>
          <w:i w:val="0"/>
          <w:color w:val="000000"/>
          <w:sz w:val="16"/>
          <w:u w:val="none"/>
        </w:rPr>
        <w:t>.</w:t>
      </w:r>
    </w:p>
    <w:p>
      <w:pPr>
        <w:keepNext w:val="0"/>
        <w:keepLines/>
        <w:pageBreakBefore w:val="0"/>
        <w:widowControl w:val="0"/>
        <w:numPr>
          <w:ilvl w:val="0"/>
          <w:numId w:val="16"/>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bookmarkStart w:id="18" w:name="Section19"/>
      <w:bookmarkEnd w:id="18"/>
    </w:p>
    <w:p>
      <w:pPr>
        <w:keepNext/>
        <w:keepLines/>
        <w:pageBreakBefore w:val="0"/>
        <w:widowControl w:val="0"/>
        <w:numPr>
          <w:ilvl w:val="0"/>
          <w:numId w:val="0"/>
        </w:numPr>
        <w:spacing w:before="0" w:after="0" w:line="288" w:lineRule="auto"/>
        <w:ind w:left="0" w:right="0" w:firstLine="0"/>
        <w:jc w:val="left"/>
        <w:outlineLvl w:val="3"/>
        <w:rPr>
          <w:rFonts w:ascii="Times New Roman" w:eastAsia="Times New Roman" w:hAnsi="Times New Roman" w:cs="Times New Roman"/>
          <w:b/>
          <w:i w:val="0"/>
          <w:sz w:val="20"/>
        </w:rPr>
      </w:pPr>
      <w:r>
        <w:rPr>
          <w:rFonts w:ascii="Times New Roman" w:eastAsia="Times New Roman" w:hAnsi="Times New Roman" w:cs="Times New Roman"/>
          <w:b/>
          <w:i w:val="0"/>
          <w:sz w:val="20"/>
        </w:rPr>
        <w:t xml:space="preserve">NOTE 10 - </w:t>
      </w:r>
      <w:r>
        <w:rPr>
          <w:rFonts w:ascii="Times New Roman" w:eastAsia="Times New Roman" w:hAnsi="Times New Roman" w:cs="Times New Roman"/>
          <w:b/>
          <w:i w:val="0"/>
          <w:color w:val="000000"/>
          <w:sz w:val="20"/>
          <w:u w:val="none"/>
        </w:rPr>
        <w:t>NET LOSS PER SHARE</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We compute net earnings or loss per share based on the weighted average number of common shares outstanding for the period. Diluted net earnings per share reflects the maximum dilution that would have resulted from incremental common shares issuable upon the exercise of stock options or vesting of RSUs and in some cases PSUs. In periods of net income, we compute the adjustment to the denominator of our dilutive net earnings per share calculation to include these stock options, RSUs, and PSUs, as applicable, using the treasury stock method. Regardless of the period resulting in net income or net loss, we exclude the adjustment to the denominator of our dilutive net loss per share calculation to the extent that they are anti-dilutive.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The following table sets forth the computation of basic and diluted net loss per common share for the periods presented below (in thousands, except per share amounts):</w:t>
      </w:r>
    </w:p>
    <w:tbl>
      <w:tblPr>
        <w:tblStyle w:val="TableNormal0"/>
        <w:tblW w:w="10245" w:type="dxa"/>
        <w:jc w:val="center"/>
        <w:tblLayout w:type="fixed"/>
      </w:tblPr>
      <w:tblGrid>
        <w:gridCol w:w="5040"/>
        <w:gridCol w:w="1245"/>
        <w:gridCol w:w="75"/>
        <w:gridCol w:w="1245"/>
        <w:gridCol w:w="75"/>
        <w:gridCol w:w="1245"/>
        <w:gridCol w:w="75"/>
        <w:gridCol w:w="1245"/>
      </w:tblGrid>
      <w:tr>
        <w:tblPrEx>
          <w:tblW w:w="10245" w:type="dxa"/>
          <w:tblLayout w:type="fixed"/>
        </w:tblPrEx>
        <w:trPr>
          <w:trHeight w:hRule="exact" w:val="465"/>
        </w:trPr>
        <w:tc>
          <w:tcPr>
            <w:tcW w:w="50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565" w:type="dxa"/>
            <w:gridSpan w:val="3"/>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Three Months Ended</w:t>
            </w:r>
            <w:r>
              <w:br/>
            </w:r>
            <w:r>
              <w:rPr>
                <w:rFonts w:ascii="Times New Roman" w:eastAsia="Times New Roman" w:hAnsi="Times New Roman" w:cs="Times New Roman"/>
                <w:b/>
                <w:i w:val="0"/>
                <w:color w:val="000000"/>
                <w:sz w:val="20"/>
                <w:u w:val="none"/>
              </w:rPr>
              <w:t>September 30,</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256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Nine Months Ended</w:t>
            </w:r>
            <w:r>
              <w:br/>
            </w:r>
            <w:r>
              <w:rPr>
                <w:rFonts w:ascii="Times New Roman" w:eastAsia="Times New Roman" w:hAnsi="Times New Roman" w:cs="Times New Roman"/>
                <w:b/>
                <w:i w:val="0"/>
                <w:color w:val="000000"/>
                <w:sz w:val="20"/>
                <w:u w:val="none"/>
              </w:rPr>
              <w:t>September 30,</w:t>
            </w:r>
          </w:p>
        </w:tc>
      </w:tr>
      <w:tr>
        <w:tblPrEx>
          <w:tblW w:w="10245" w:type="dxa"/>
          <w:tblLayout w:type="fixed"/>
        </w:tblPrEx>
        <w:trPr>
          <w:trHeight w:hRule="exact" w:val="345"/>
        </w:trPr>
        <w:tc>
          <w:tcPr>
            <w:tcW w:w="50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24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124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Basic:</w:t>
            </w:r>
          </w:p>
        </w:tc>
        <w:tc>
          <w:tcPr>
            <w:tcW w:w="124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xml:space="preserve">Net loss </w:t>
            </w: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726"/>
              </w:tabs>
              <w:spacing w:before="53" w:after="30" w:line="240" w:lineRule="auto"/>
              <w:jc w:val="right"/>
            </w:pPr>
            <w:r>
              <w:rPr>
                <w:rFonts w:ascii="Times New Roman" w:eastAsia="Times New Roman" w:hAnsi="Times New Roman" w:cs="Times New Roman"/>
                <w:b w:val="0"/>
                <w:i w:val="0"/>
                <w:color w:val="000000"/>
                <w:sz w:val="20"/>
                <w:u w:val="none"/>
              </w:rPr>
              <w:t>$</w:t>
              <w:tab/>
              <w:t>(604)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6"/>
              </w:tabs>
              <w:spacing w:before="53" w:after="30" w:line="240" w:lineRule="auto"/>
              <w:jc w:val="right"/>
            </w:pPr>
            <w:r>
              <w:rPr>
                <w:rFonts w:ascii="Times New Roman" w:eastAsia="Times New Roman" w:hAnsi="Times New Roman" w:cs="Times New Roman"/>
                <w:b w:val="0"/>
                <w:i w:val="0"/>
                <w:color w:val="000000"/>
                <w:sz w:val="20"/>
                <w:u w:val="none"/>
              </w:rPr>
              <w:t>$</w:t>
              <w:tab/>
              <w:t>(5,362)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6"/>
              </w:tabs>
              <w:spacing w:before="53" w:after="30" w:line="240" w:lineRule="auto"/>
              <w:jc w:val="right"/>
            </w:pPr>
            <w:r>
              <w:rPr>
                <w:rFonts w:ascii="Times New Roman" w:eastAsia="Times New Roman" w:hAnsi="Times New Roman" w:cs="Times New Roman"/>
                <w:b w:val="0"/>
                <w:i w:val="0"/>
                <w:color w:val="000000"/>
                <w:sz w:val="20"/>
                <w:u w:val="none"/>
              </w:rPr>
              <w:t>$</w:t>
              <w:tab/>
              <w:t>(4,422)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76"/>
              </w:tabs>
              <w:spacing w:before="53" w:after="30" w:line="240" w:lineRule="auto"/>
              <w:jc w:val="right"/>
            </w:pPr>
            <w:r>
              <w:rPr>
                <w:rFonts w:ascii="Times New Roman" w:eastAsia="Times New Roman" w:hAnsi="Times New Roman" w:cs="Times New Roman"/>
                <w:b w:val="0"/>
                <w:i w:val="0"/>
                <w:color w:val="000000"/>
                <w:sz w:val="20"/>
                <w:u w:val="none"/>
              </w:rPr>
              <w:t>$</w:t>
              <w:tab/>
              <w:t>(13,883)</w:t>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Weighted-average shares of common stock outstanding</w:t>
            </w:r>
          </w:p>
        </w:tc>
        <w:tc>
          <w:tcPr>
            <w:tcW w:w="124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28,890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27,566</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28,688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nil"/>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27,257</w:t>
              <w:tab/>
            </w: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Basic loss per share</w:t>
            </w: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(0.02)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(0.19)</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(0.15)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keepNext/>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(0.51)</w:t>
            </w:r>
          </w:p>
        </w:tc>
      </w:tr>
      <w:tr>
        <w:tblPrEx>
          <w:tblW w:w="10245" w:type="dxa"/>
          <w:tblLayout w:type="fixed"/>
        </w:tblPrEx>
        <w:trPr>
          <w:trHeight w:hRule="exact" w:val="345"/>
        </w:trPr>
        <w:tc>
          <w:tcPr>
            <w:tcW w:w="504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double" w:sz="8" w:space="0" w:color="000000"/>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Diluted:</w:t>
            </w: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Net loss</w:t>
            </w: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726"/>
              </w:tabs>
              <w:spacing w:before="53" w:after="30" w:line="240" w:lineRule="auto"/>
              <w:jc w:val="right"/>
            </w:pPr>
            <w:r>
              <w:rPr>
                <w:rFonts w:ascii="Times New Roman" w:eastAsia="Times New Roman" w:hAnsi="Times New Roman" w:cs="Times New Roman"/>
                <w:b w:val="0"/>
                <w:i w:val="0"/>
                <w:color w:val="000000"/>
                <w:sz w:val="20"/>
                <w:u w:val="none"/>
              </w:rPr>
              <w:t>$</w:t>
              <w:tab/>
              <w:t>(604)</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6"/>
              </w:tabs>
              <w:spacing w:before="53" w:after="30" w:line="240" w:lineRule="auto"/>
              <w:jc w:val="right"/>
            </w:pPr>
            <w:r>
              <w:rPr>
                <w:rFonts w:ascii="Times New Roman" w:eastAsia="Times New Roman" w:hAnsi="Times New Roman" w:cs="Times New Roman"/>
                <w:b w:val="0"/>
                <w:i w:val="0"/>
                <w:color w:val="000000"/>
                <w:sz w:val="20"/>
                <w:u w:val="none"/>
              </w:rPr>
              <w:t>$</w:t>
              <w:tab/>
              <w:t>(5,362)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76"/>
              </w:tabs>
              <w:spacing w:before="53" w:after="30" w:line="240" w:lineRule="auto"/>
              <w:jc w:val="right"/>
            </w:pPr>
            <w:r>
              <w:rPr>
                <w:rFonts w:ascii="Times New Roman" w:eastAsia="Times New Roman" w:hAnsi="Times New Roman" w:cs="Times New Roman"/>
                <w:b w:val="0"/>
                <w:i w:val="0"/>
                <w:color w:val="000000"/>
                <w:sz w:val="20"/>
                <w:u w:val="none"/>
              </w:rPr>
              <w:t>$</w:t>
              <w:tab/>
              <w:t>(4,422)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476"/>
              </w:tabs>
              <w:spacing w:before="53" w:after="30" w:line="240" w:lineRule="auto"/>
              <w:jc w:val="right"/>
            </w:pPr>
            <w:r>
              <w:rPr>
                <w:rFonts w:ascii="Times New Roman" w:eastAsia="Times New Roman" w:hAnsi="Times New Roman" w:cs="Times New Roman"/>
                <w:b w:val="0"/>
                <w:i w:val="0"/>
                <w:color w:val="000000"/>
                <w:sz w:val="20"/>
                <w:u w:val="none"/>
              </w:rPr>
              <w:t>$</w:t>
              <w:tab/>
              <w:t>(13,883)</w:t>
            </w: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Weighted-average shares of common stock outstanding</w:t>
            </w: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28,890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sz w:val="20"/>
              </w:rPr>
            </w:pP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27,566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28,688</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27,257</w:t>
              <w:tab/>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Diluted loss per share</w:t>
            </w:r>
          </w:p>
        </w:tc>
        <w:tc>
          <w:tcPr>
            <w:tcW w:w="124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(0.02)</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rPr>
                <w:sz w:val="20"/>
              </w:rPr>
            </w:pPr>
          </w:p>
        </w:tc>
        <w:tc>
          <w:tcPr>
            <w:tcW w:w="124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(0.19)</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24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(0.15)</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24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76"/>
              </w:tabs>
              <w:spacing w:before="33" w:after="30" w:line="240" w:lineRule="auto"/>
              <w:jc w:val="right"/>
            </w:pPr>
            <w:r>
              <w:rPr>
                <w:rFonts w:ascii="Times New Roman" w:eastAsia="Times New Roman" w:hAnsi="Times New Roman" w:cs="Times New Roman"/>
                <w:b w:val="0"/>
                <w:i w:val="0"/>
                <w:color w:val="000000"/>
                <w:sz w:val="20"/>
                <w:u w:val="none"/>
              </w:rPr>
              <w:t>$</w:t>
              <w:tab/>
              <w:t>(0.51)</w:t>
            </w:r>
          </w:p>
        </w:tc>
      </w:tr>
    </w:tb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3"/>
        <w:rPr>
          <w:rFonts w:ascii="Times New Roman" w:eastAsia="Times New Roman" w:hAnsi="Times New Roman" w:cs="Times New Roman"/>
          <w:b/>
          <w:i w:val="0"/>
          <w:color w:val="000000"/>
          <w:sz w:val="20"/>
          <w:highlight w:val="white"/>
          <w:u w:val="none"/>
        </w:rPr>
      </w:pPr>
      <w:bookmarkStart w:id="19" w:name="Section20"/>
      <w:bookmarkEnd w:id="19"/>
      <w:r>
        <w:rPr>
          <w:rFonts w:ascii="Times New Roman" w:eastAsia="Times New Roman" w:hAnsi="Times New Roman" w:cs="Times New Roman"/>
          <w:b/>
          <w:i w:val="0"/>
          <w:color w:val="000000"/>
          <w:sz w:val="20"/>
          <w:highlight w:val="white"/>
          <w:u w:val="none"/>
        </w:rPr>
        <w:t xml:space="preserve">NOTE 11 - </w:t>
      </w:r>
      <w:r>
        <w:rPr>
          <w:rFonts w:ascii="Times New Roman" w:eastAsia="Times New Roman" w:hAnsi="Times New Roman" w:cs="Times New Roman"/>
          <w:b/>
          <w:i w:val="0"/>
          <w:color w:val="000000"/>
          <w:sz w:val="20"/>
          <w:highlight w:val="white"/>
          <w:u w:val="none"/>
        </w:rPr>
        <w:t>SEGMENT INFORMATION</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val="0"/>
          <w:i w:val="0"/>
          <w:color w:val="000000"/>
          <w:sz w:val="20"/>
          <w:u w:val="none"/>
        </w:rPr>
        <w:t xml:space="preserve">We manage our business activities on a consolidated basis and operate as </w:t>
      </w:r>
      <w:r>
        <w:rPr>
          <w:rFonts w:ascii="Times New Roman" w:eastAsia="Times New Roman" w:hAnsi="Times New Roman" w:cs="Times New Roman"/>
          <w:b w:val="0"/>
          <w:i w:val="0"/>
          <w:color w:val="000000"/>
          <w:sz w:val="20"/>
          <w:u w:val="none"/>
        </w:rPr>
        <w:t>one</w:t>
      </w:r>
      <w:r>
        <w:rPr>
          <w:rFonts w:ascii="Times New Roman" w:eastAsia="Times New Roman" w:hAnsi="Times New Roman" w:cs="Times New Roman"/>
          <w:b w:val="0"/>
          <w:i w:val="0"/>
          <w:color w:val="000000"/>
          <w:sz w:val="20"/>
          <w:u w:val="none"/>
        </w:rPr>
        <w:t xml:space="preserve"> reportable segment. Our chief operating decision maker (“CODM”) is the Chairman and Chief Executive Officer, who reviews financial information presented on a consolidated basis. The CODM uses consolidated net loss, as reported on our Consolidated Statements of Comprehensive Loss, to assess financial performance and allocate resources. These financial metrics are used by the CODM to make key operating decisions, such as the allocation of budget between cost of sales, sales and marketing, general and administrative, and research and development expenses. The CODM does not review assets in evaluating the results of the segment, and therefore, such information is not presented.</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operating financial results of our single reportable segment for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color w:val="000000"/>
          <w:sz w:val="20"/>
          <w:highlight w:val="white"/>
          <w:u w:val="none"/>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color w:val="000000"/>
          <w:sz w:val="20"/>
          <w:u w:val="none"/>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color w:val="000000"/>
          <w:sz w:val="20"/>
          <w:u w:val="none"/>
        </w:rPr>
        <w:t>, are as follows (in thousands):</w:t>
      </w:r>
    </w:p>
    <w:tbl>
      <w:tblPr>
        <w:tblStyle w:val="TableNormal0"/>
        <w:tblW w:w="10245" w:type="dxa"/>
        <w:jc w:val="center"/>
        <w:tblLayout w:type="fixed"/>
      </w:tblPr>
      <w:tblGrid>
        <w:gridCol w:w="5040"/>
        <w:gridCol w:w="1245"/>
        <w:gridCol w:w="75"/>
        <w:gridCol w:w="1245"/>
        <w:gridCol w:w="75"/>
        <w:gridCol w:w="1245"/>
        <w:gridCol w:w="75"/>
        <w:gridCol w:w="1245"/>
      </w:tblGrid>
      <w:tr>
        <w:tblPrEx>
          <w:tblW w:w="10245" w:type="dxa"/>
          <w:tblLayout w:type="fixed"/>
        </w:tblPrEx>
        <w:trPr>
          <w:trHeight w:hRule="exact" w:val="465"/>
        </w:trPr>
        <w:tc>
          <w:tcPr>
            <w:tcW w:w="504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56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Three Months Ended</w:t>
            </w:r>
            <w:r>
              <w:br/>
            </w:r>
            <w:r>
              <w:rPr>
                <w:rFonts w:ascii="Times New Roman" w:eastAsia="Times New Roman" w:hAnsi="Times New Roman" w:cs="Times New Roman"/>
                <w:b/>
                <w:i w:val="0"/>
                <w:color w:val="000000"/>
                <w:sz w:val="20"/>
                <w:u w:val="none"/>
              </w:rPr>
              <w:t>September 30,</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rPr>
            </w:pPr>
          </w:p>
        </w:tc>
        <w:tc>
          <w:tcPr>
            <w:tcW w:w="256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Nine Months Ended</w:t>
            </w:r>
            <w:r>
              <w:br/>
            </w:r>
            <w:r>
              <w:rPr>
                <w:rFonts w:ascii="Times New Roman" w:eastAsia="Times New Roman" w:hAnsi="Times New Roman" w:cs="Times New Roman"/>
                <w:b/>
                <w:i w:val="0"/>
                <w:color w:val="000000"/>
                <w:sz w:val="20"/>
                <w:u w:val="none"/>
              </w:rPr>
              <w:t>September 30,</w:t>
            </w:r>
          </w:p>
        </w:tc>
      </w:tr>
      <w:tr>
        <w:tblPrEx>
          <w:tblW w:w="10245" w:type="dxa"/>
          <w:tblLayout w:type="fixed"/>
        </w:tblPrEx>
        <w:trPr>
          <w:trHeight w:hRule="exact" w:val="285"/>
        </w:trPr>
        <w:tc>
          <w:tcPr>
            <w:tcW w:w="5040" w:type="dxa"/>
            <w:tcBorders>
              <w:top w:val="nil"/>
              <w:left w:val="nil"/>
              <w:bottom w:val="nil"/>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val="0"/>
                <w:i w:val="0"/>
                <w:color w:val="000000"/>
                <w:sz w:val="20"/>
                <w:u w:val="none"/>
              </w:rPr>
              <w:t> </w:t>
            </w:r>
          </w:p>
        </w:tc>
        <w:tc>
          <w:tcPr>
            <w:tcW w:w="124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c>
          <w:tcPr>
            <w:tcW w:w="7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24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24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revenues</w:t>
            </w:r>
          </w:p>
        </w:tc>
        <w:tc>
          <w:tcPr>
            <w:tcW w:w="124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33" w:after="30" w:line="240" w:lineRule="auto"/>
              <w:jc w:val="right"/>
            </w:pPr>
            <w:r>
              <w:rPr>
                <w:rFonts w:ascii="Times New Roman" w:eastAsia="Times New Roman" w:hAnsi="Times New Roman" w:cs="Times New Roman"/>
                <w:b w:val="0"/>
                <w:i w:val="0"/>
                <w:color w:val="000000"/>
                <w:sz w:val="20"/>
                <w:u w:val="none"/>
              </w:rPr>
              <w:t>$</w:t>
              <w:tab/>
              <w:t>40,022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33" w:after="30" w:line="240" w:lineRule="auto"/>
              <w:jc w:val="right"/>
            </w:pPr>
            <w:r>
              <w:rPr>
                <w:rFonts w:ascii="Times New Roman" w:eastAsia="Times New Roman" w:hAnsi="Times New Roman" w:cs="Times New Roman"/>
                <w:b w:val="0"/>
                <w:i w:val="0"/>
                <w:color w:val="000000"/>
                <w:sz w:val="20"/>
                <w:u w:val="none"/>
              </w:rPr>
              <w:t>$</w:t>
              <w:tab/>
              <w:t>36,252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62"/>
                <w:tab w:val="left" w:pos="1177"/>
              </w:tabs>
              <w:spacing w:before="33" w:after="30" w:line="240" w:lineRule="auto"/>
              <w:jc w:val="right"/>
            </w:pPr>
            <w:r>
              <w:rPr>
                <w:rFonts w:ascii="Times New Roman" w:eastAsia="Times New Roman" w:hAnsi="Times New Roman" w:cs="Times New Roman"/>
                <w:b w:val="0"/>
                <w:i w:val="0"/>
                <w:color w:val="000000"/>
                <w:sz w:val="20"/>
                <w:u w:val="none"/>
              </w:rPr>
              <w:t>$</w:t>
              <w:tab/>
              <w:t>119,892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462"/>
                <w:tab w:val="left" w:pos="1177"/>
              </w:tabs>
              <w:spacing w:before="33" w:after="30" w:line="240" w:lineRule="auto"/>
              <w:jc w:val="right"/>
            </w:pPr>
            <w:r>
              <w:rPr>
                <w:rFonts w:ascii="Times New Roman" w:eastAsia="Times New Roman" w:hAnsi="Times New Roman" w:cs="Times New Roman"/>
                <w:b w:val="0"/>
                <w:i w:val="0"/>
                <w:color w:val="000000"/>
                <w:sz w:val="20"/>
                <w:u w:val="none"/>
              </w:rPr>
              <w:t>$</w:t>
              <w:tab/>
              <w:t>101,230</w:t>
              <w:tab/>
            </w: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Significant segment expenses</w:t>
            </w:r>
          </w:p>
        </w:tc>
        <w:tc>
          <w:tcPr>
            <w:tcW w:w="12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24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Compensation</w:t>
            </w: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23,707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22,926</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71,160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67,894</w:t>
              <w:tab/>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Non-compensation</w:t>
            </w: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10,567</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11,902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32,242</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30,081</w:t>
              <w:tab/>
            </w: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Deferred software and commission costs</w:t>
            </w: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6"/>
              </w:tabs>
              <w:spacing w:before="53" w:after="30" w:line="240" w:lineRule="auto"/>
              <w:jc w:val="right"/>
            </w:pPr>
            <w:r>
              <w:rPr>
                <w:rFonts w:ascii="Times New Roman" w:eastAsia="Times New Roman" w:hAnsi="Times New Roman" w:cs="Times New Roman"/>
                <w:b w:val="0"/>
                <w:i w:val="0"/>
                <w:color w:val="000000"/>
                <w:sz w:val="20"/>
                <w:u w:val="none"/>
              </w:rPr>
              <w:tab/>
              <w:t>(4,061)</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576"/>
              </w:tabs>
              <w:spacing w:before="53" w:after="30" w:line="240" w:lineRule="auto"/>
              <w:jc w:val="right"/>
            </w:pPr>
            <w:r>
              <w:rPr>
                <w:rFonts w:ascii="Times New Roman" w:eastAsia="Times New Roman" w:hAnsi="Times New Roman" w:cs="Times New Roman"/>
                <w:b w:val="0"/>
                <w:i w:val="0"/>
                <w:color w:val="000000"/>
                <w:sz w:val="20"/>
                <w:u w:val="none"/>
              </w:rPr>
              <w:tab/>
              <w:t>(4,233)</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76"/>
              </w:tabs>
              <w:spacing w:before="53" w:after="30" w:line="240" w:lineRule="auto"/>
              <w:jc w:val="right"/>
            </w:pPr>
            <w:r>
              <w:rPr>
                <w:rFonts w:ascii="Times New Roman" w:eastAsia="Times New Roman" w:hAnsi="Times New Roman" w:cs="Times New Roman"/>
                <w:b w:val="0"/>
                <w:i w:val="0"/>
                <w:color w:val="000000"/>
                <w:sz w:val="20"/>
                <w:u w:val="none"/>
              </w:rPr>
              <w:tab/>
              <w:t>(11,605)</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476"/>
              </w:tabs>
              <w:spacing w:before="53" w:after="30" w:line="240" w:lineRule="auto"/>
              <w:jc w:val="right"/>
            </w:pPr>
            <w:r>
              <w:rPr>
                <w:rFonts w:ascii="Times New Roman" w:eastAsia="Times New Roman" w:hAnsi="Times New Roman" w:cs="Times New Roman"/>
                <w:b w:val="0"/>
                <w:i w:val="0"/>
                <w:color w:val="000000"/>
                <w:sz w:val="20"/>
                <w:u w:val="none"/>
              </w:rPr>
              <w:tab/>
              <w:t>(11,649)</w:t>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ind w:left="120"/>
              <w:jc w:val="left"/>
            </w:pPr>
            <w:r>
              <w:rPr>
                <w:rFonts w:ascii="Times New Roman" w:eastAsia="Times New Roman" w:hAnsi="Times New Roman" w:cs="Times New Roman"/>
                <w:b w:val="0"/>
                <w:i w:val="0"/>
                <w:color w:val="000000"/>
                <w:sz w:val="20"/>
                <w:u w:val="none"/>
              </w:rPr>
              <w:t>Amortization, depreciation, and other noncash expenses</w:t>
            </w: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62"/>
                <w:tab w:val="left" w:pos="1177"/>
              </w:tabs>
              <w:spacing w:before="53" w:after="30" w:line="240" w:lineRule="auto"/>
              <w:jc w:val="right"/>
            </w:pPr>
            <w:r>
              <w:rPr>
                <w:rFonts w:ascii="Times New Roman" w:eastAsia="Times New Roman" w:hAnsi="Times New Roman" w:cs="Times New Roman"/>
                <w:b w:val="0"/>
                <w:i w:val="0"/>
                <w:color w:val="000000"/>
                <w:sz w:val="20"/>
                <w:u w:val="none"/>
              </w:rPr>
              <w:tab/>
              <w:t>8,833</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662"/>
                <w:tab w:val="left" w:pos="1177"/>
              </w:tabs>
              <w:spacing w:before="53" w:after="30" w:line="240" w:lineRule="auto"/>
              <w:jc w:val="right"/>
            </w:pPr>
            <w:r>
              <w:rPr>
                <w:rFonts w:ascii="Times New Roman" w:eastAsia="Times New Roman" w:hAnsi="Times New Roman" w:cs="Times New Roman"/>
                <w:b w:val="0"/>
                <w:i w:val="0"/>
                <w:color w:val="000000"/>
                <w:sz w:val="20"/>
                <w:u w:val="none"/>
              </w:rPr>
              <w:tab/>
              <w:t>9,518</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27,790</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53" w:after="30" w:line="240" w:lineRule="auto"/>
              <w:jc w:val="right"/>
            </w:pPr>
            <w:r>
              <w:rPr>
                <w:rFonts w:ascii="Times New Roman" w:eastAsia="Times New Roman" w:hAnsi="Times New Roman" w:cs="Times New Roman"/>
                <w:b w:val="0"/>
                <w:i w:val="0"/>
                <w:color w:val="000000"/>
                <w:sz w:val="20"/>
                <w:u w:val="none"/>
              </w:rPr>
              <w:tab/>
              <w:t>26,566</w:t>
              <w:tab/>
            </w: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numPr>
                <w:ilvl w:val="0"/>
                <w:numId w:val="0"/>
              </w:numPr>
              <w:spacing w:before="53" w:after="30" w:line="240" w:lineRule="auto"/>
              <w:ind w:left="12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Other segment expenses (income)</w:t>
            </w:r>
            <w:r>
              <w:rPr>
                <w:rFonts w:ascii="Times New Roman" w:eastAsia="Times New Roman" w:hAnsi="Times New Roman" w:cs="Times New Roman"/>
                <w:b w:val="0"/>
                <w:i w:val="0"/>
                <w:sz w:val="20"/>
                <w:vertAlign w:val="superscript"/>
              </w:rPr>
              <w:t>(1)</w:t>
            </w: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62"/>
                <w:tab w:val="left" w:pos="1177"/>
              </w:tabs>
              <w:spacing w:before="53" w:after="30" w:line="240" w:lineRule="auto"/>
              <w:jc w:val="right"/>
            </w:pPr>
            <w:r>
              <w:rPr>
                <w:rFonts w:ascii="Times New Roman" w:eastAsia="Times New Roman" w:hAnsi="Times New Roman" w:cs="Times New Roman"/>
                <w:b w:val="0"/>
                <w:i w:val="0"/>
                <w:color w:val="000000"/>
                <w:sz w:val="20"/>
                <w:u w:val="none"/>
              </w:rPr>
              <w:tab/>
              <w:t>1,580</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62"/>
                <w:tab w:val="left" w:pos="1177"/>
              </w:tabs>
              <w:spacing w:before="53" w:after="30" w:line="240" w:lineRule="auto"/>
              <w:jc w:val="right"/>
            </w:pPr>
            <w:r>
              <w:rPr>
                <w:rFonts w:ascii="Times New Roman" w:eastAsia="Times New Roman" w:hAnsi="Times New Roman" w:cs="Times New Roman"/>
                <w:b w:val="0"/>
                <w:i w:val="0"/>
                <w:color w:val="000000"/>
                <w:sz w:val="20"/>
                <w:u w:val="none"/>
              </w:rPr>
              <w:tab/>
              <w:t>1,501</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62"/>
                <w:tab w:val="left" w:pos="1177"/>
              </w:tabs>
              <w:spacing w:before="53" w:after="30" w:line="240" w:lineRule="auto"/>
              <w:jc w:val="right"/>
            </w:pPr>
            <w:r>
              <w:rPr>
                <w:rFonts w:ascii="Times New Roman" w:eastAsia="Times New Roman" w:hAnsi="Times New Roman" w:cs="Times New Roman"/>
                <w:b w:val="0"/>
                <w:i w:val="0"/>
                <w:color w:val="000000"/>
                <w:sz w:val="20"/>
                <w:u w:val="none"/>
              </w:rPr>
              <w:tab/>
              <w:t>4,727</w:t>
              <w:tab/>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62"/>
                <w:tab w:val="left" w:pos="1177"/>
              </w:tabs>
              <w:spacing w:before="53" w:after="30" w:line="240" w:lineRule="auto"/>
              <w:jc w:val="right"/>
            </w:pPr>
            <w:r>
              <w:rPr>
                <w:rFonts w:ascii="Times New Roman" w:eastAsia="Times New Roman" w:hAnsi="Times New Roman" w:cs="Times New Roman"/>
                <w:b w:val="0"/>
                <w:i w:val="0"/>
                <w:color w:val="000000"/>
                <w:sz w:val="20"/>
                <w:u w:val="none"/>
              </w:rPr>
              <w:tab/>
              <w:t>2,221</w:t>
              <w:tab/>
            </w:r>
          </w:p>
        </w:tc>
      </w:tr>
      <w:tr>
        <w:tblPrEx>
          <w:tblW w:w="10245" w:type="dxa"/>
          <w:tblLayout w:type="fixed"/>
        </w:tblPrEx>
        <w:trPr>
          <w:trHeight w:hRule="exact" w:val="285"/>
        </w:trPr>
        <w:tc>
          <w:tcPr>
            <w:tcW w:w="5040"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Total expenses</w:t>
            </w:r>
          </w:p>
        </w:tc>
        <w:tc>
          <w:tcPr>
            <w:tcW w:w="124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33" w:after="30" w:line="240" w:lineRule="auto"/>
              <w:jc w:val="right"/>
            </w:pPr>
            <w:r>
              <w:rPr>
                <w:rFonts w:ascii="Times New Roman" w:eastAsia="Times New Roman" w:hAnsi="Times New Roman" w:cs="Times New Roman"/>
                <w:b w:val="0"/>
                <w:i w:val="0"/>
                <w:color w:val="000000"/>
                <w:sz w:val="20"/>
                <w:u w:val="none"/>
              </w:rPr>
              <w:tab/>
              <w:t>40,626</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562"/>
                <w:tab w:val="left" w:pos="1177"/>
              </w:tabs>
              <w:spacing w:before="33" w:after="30" w:line="240" w:lineRule="auto"/>
              <w:jc w:val="right"/>
            </w:pPr>
            <w:r>
              <w:rPr>
                <w:rFonts w:ascii="Times New Roman" w:eastAsia="Times New Roman" w:hAnsi="Times New Roman" w:cs="Times New Roman"/>
                <w:b w:val="0"/>
                <w:i w:val="0"/>
                <w:color w:val="000000"/>
                <w:sz w:val="20"/>
                <w:u w:val="none"/>
              </w:rPr>
              <w:tab/>
              <w:t>41,614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62"/>
                <w:tab w:val="left" w:pos="1177"/>
              </w:tabs>
              <w:spacing w:before="33" w:after="30" w:line="240" w:lineRule="auto"/>
              <w:jc w:val="right"/>
            </w:pPr>
            <w:r>
              <w:rPr>
                <w:rFonts w:ascii="Times New Roman" w:eastAsia="Times New Roman" w:hAnsi="Times New Roman" w:cs="Times New Roman"/>
                <w:b w:val="0"/>
                <w:i w:val="0"/>
                <w:color w:val="000000"/>
                <w:sz w:val="20"/>
                <w:u w:val="none"/>
              </w:rPr>
              <w:tab/>
              <w:t>124,314</w:t>
              <w:tab/>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single" w:sz="8" w:space="0" w:color="000000"/>
              <w:right w:val="nil"/>
            </w:tcBorders>
            <w:shd w:val="clear" w:color="auto" w:fill="CCEEFF"/>
            <w:tcMar>
              <w:top w:w="0" w:type="dxa"/>
              <w:left w:w="0" w:type="dxa"/>
              <w:bottom w:w="0" w:type="dxa"/>
              <w:right w:w="15" w:type="dxa"/>
            </w:tcMar>
            <w:vAlign w:val="bottom"/>
          </w:tcPr>
          <w:p>
            <w:pPr>
              <w:keepNext/>
              <w:pageBreakBefore w:val="0"/>
              <w:tabs>
                <w:tab w:val="left" w:pos="462"/>
                <w:tab w:val="left" w:pos="1177"/>
              </w:tabs>
              <w:spacing w:before="33" w:after="30" w:line="240" w:lineRule="auto"/>
              <w:jc w:val="right"/>
            </w:pPr>
            <w:r>
              <w:rPr>
                <w:rFonts w:ascii="Times New Roman" w:eastAsia="Times New Roman" w:hAnsi="Times New Roman" w:cs="Times New Roman"/>
                <w:b w:val="0"/>
                <w:i w:val="0"/>
                <w:color w:val="000000"/>
                <w:sz w:val="20"/>
                <w:u w:val="none"/>
              </w:rPr>
              <w:tab/>
              <w:t>115,113</w:t>
              <w:tab/>
            </w:r>
          </w:p>
        </w:tc>
      </w:tr>
      <w:tr>
        <w:tblPrEx>
          <w:tblW w:w="10245" w:type="dxa"/>
          <w:tblLayout w:type="fixed"/>
        </w:tblPrEx>
        <w:trPr>
          <w:trHeight w:hRule="exact" w:val="285"/>
        </w:trPr>
        <w:tc>
          <w:tcPr>
            <w:tcW w:w="5040"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Net loss</w:t>
            </w: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726"/>
              </w:tabs>
              <w:spacing w:before="33" w:after="30" w:line="240" w:lineRule="auto"/>
              <w:jc w:val="right"/>
            </w:pPr>
            <w:r>
              <w:rPr>
                <w:rFonts w:ascii="Times New Roman" w:eastAsia="Times New Roman" w:hAnsi="Times New Roman" w:cs="Times New Roman"/>
                <w:b w:val="0"/>
                <w:i w:val="0"/>
                <w:color w:val="000000"/>
                <w:sz w:val="20"/>
                <w:u w:val="none"/>
              </w:rPr>
              <w:t>$</w:t>
              <w:tab/>
              <w:t>(604)</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576"/>
              </w:tabs>
              <w:spacing w:before="33" w:after="30" w:line="240" w:lineRule="auto"/>
              <w:jc w:val="right"/>
            </w:pPr>
            <w:r>
              <w:rPr>
                <w:rFonts w:ascii="Times New Roman" w:eastAsia="Times New Roman" w:hAnsi="Times New Roman" w:cs="Times New Roman"/>
                <w:b w:val="0"/>
                <w:i w:val="0"/>
                <w:color w:val="000000"/>
                <w:sz w:val="20"/>
                <w:u w:val="none"/>
              </w:rPr>
              <w:t>$</w:t>
              <w:tab/>
              <w:t>(5,362)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576"/>
              </w:tabs>
              <w:spacing w:before="33" w:after="30" w:line="240" w:lineRule="auto"/>
              <w:jc w:val="right"/>
            </w:pPr>
            <w:r>
              <w:rPr>
                <w:rFonts w:ascii="Times New Roman" w:eastAsia="Times New Roman" w:hAnsi="Times New Roman" w:cs="Times New Roman"/>
                <w:b w:val="0"/>
                <w:i w:val="0"/>
                <w:color w:val="000000"/>
                <w:sz w:val="20"/>
                <w:u w:val="none"/>
              </w:rPr>
              <w:t>$</w:t>
              <w:tab/>
              <w:t>(4,422)</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24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pPr>
              <w:pageBreakBefore w:val="0"/>
              <w:tabs>
                <w:tab w:val="left" w:pos="476"/>
              </w:tabs>
              <w:spacing w:before="33" w:after="30" w:line="240" w:lineRule="auto"/>
              <w:jc w:val="right"/>
            </w:pPr>
            <w:r>
              <w:rPr>
                <w:rFonts w:ascii="Times New Roman" w:eastAsia="Times New Roman" w:hAnsi="Times New Roman" w:cs="Times New Roman"/>
                <w:b w:val="0"/>
                <w:i w:val="0"/>
                <w:color w:val="000000"/>
                <w:sz w:val="20"/>
                <w:u w:val="none"/>
              </w:rPr>
              <w:t>$</w:t>
              <w:tab/>
              <w:t>(13,883)</w:t>
            </w:r>
          </w:p>
        </w:tc>
      </w:tr>
    </w:tbl>
    <w:p>
      <w:pPr>
        <w:keepNext w:val="0"/>
        <w:keepLines/>
        <w:pageBreakBefore w:val="0"/>
        <w:widowControl w:val="0"/>
        <w:numPr>
          <w:ilvl w:val="0"/>
          <w:numId w:val="17"/>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pPr>
      <w:r>
        <w:rPr>
          <w:rFonts w:ascii="Times New Roman" w:eastAsia="Times New Roman" w:hAnsi="Times New Roman" w:cs="Times New Roman"/>
          <w:b w:val="0"/>
          <w:i w:val="0"/>
          <w:color w:val="000000"/>
          <w:sz w:val="16"/>
          <w:u w:val="none"/>
        </w:rPr>
        <w:t>Other segment expenses include interest expense (income) and other business expense (income)</w:t>
      </w:r>
    </w:p>
    <w:p>
      <w:pPr>
        <w:keepNext w:val="0"/>
        <w:keepLines/>
        <w:pageBreakBefore w:val="0"/>
        <w:widowControl w:val="0"/>
        <w:numPr>
          <w:ilvl w:val="0"/>
          <w:numId w:val="17"/>
        </w:numPr>
        <w:spacing w:before="0" w:after="0" w:line="288" w:lineRule="auto"/>
        <w:ind w:left="720" w:right="0" w:hanging="720"/>
        <w:jc w:val="left"/>
        <w:outlineLvl w:val="9"/>
        <w:rPr>
          <w:rFonts w:ascii="Times New Roman" w:eastAsia="Times New Roman" w:hAnsi="Times New Roman" w:cs="Times New Roman"/>
          <w:b w:val="0"/>
          <w:i w:val="0"/>
          <w:color w:val="000000"/>
          <w:sz w:val="16"/>
          <w:u w:val="none"/>
        </w:rPr>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color w:val="000000"/>
          <w:sz w:val="20"/>
          <w:highlight w:val="white"/>
          <w:u w:val="none"/>
        </w:rPr>
      </w:pPr>
      <w:bookmarkStart w:id="20" w:name="Section21"/>
      <w:bookmarkEnd w:id="20"/>
    </w:p>
    <w:p>
      <w:pPr>
        <w:keepNext/>
        <w:keepLines/>
        <w:pageBreakBefore w:val="0"/>
        <w:widowControl w:val="0"/>
        <w:numPr>
          <w:ilvl w:val="0"/>
          <w:numId w:val="0"/>
        </w:numPr>
        <w:spacing w:before="0" w:after="0" w:line="288" w:lineRule="auto"/>
        <w:ind w:left="0" w:right="0" w:firstLine="0"/>
        <w:jc w:val="left"/>
        <w:outlineLvl w:val="3"/>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 xml:space="preserve">NOTE 12 - </w:t>
      </w:r>
      <w:r>
        <w:rPr>
          <w:rFonts w:ascii="Times New Roman" w:eastAsia="Times New Roman" w:hAnsi="Times New Roman" w:cs="Times New Roman"/>
          <w:b/>
          <w:i w:val="0"/>
          <w:color w:val="000000"/>
          <w:sz w:val="20"/>
          <w:u w:val="none"/>
        </w:rPr>
        <w:t>SUBSEQUENT EVENTS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r>
        <w:rPr>
          <w:rFonts w:ascii="Times New Roman" w:eastAsia="Times New Roman" w:hAnsi="Times New Roman" w:cs="Times New Roman"/>
          <w:b w:val="0"/>
          <w:i/>
          <w:color w:val="000000"/>
          <w:sz w:val="20"/>
          <w:highlight w:val="white"/>
          <w:u w:val="none"/>
        </w:rPr>
        <w:t>Credit Agreement with MUFG Bank LTD</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yellow"/>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On October 15, 2026, we entered into a Credit Agreement (the “Credit Agreement”) with MUFG Bank, LTD (“MUFG”), as administrative agent, and the lenders from time to time party thereto (such lenders collectively with MUFG, the “Lenders”).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Under the Credit Agreement, we may borrow up to </w:t>
      </w:r>
      <w:r>
        <w:rPr>
          <w:rFonts w:ascii="Times New Roman" w:eastAsia="Times New Roman" w:hAnsi="Times New Roman" w:cs="Times New Roman"/>
          <w:b w:val="0"/>
          <w:i w:val="0"/>
          <w:color w:val="000000"/>
          <w:sz w:val="20"/>
          <w:u w:val="none"/>
        </w:rPr>
        <w:t>$115 million</w:t>
      </w:r>
      <w:r>
        <w:rPr>
          <w:rFonts w:ascii="Times New Roman" w:eastAsia="Times New Roman" w:hAnsi="Times New Roman" w:cs="Times New Roman"/>
          <w:b w:val="0"/>
          <w:i w:val="0"/>
          <w:color w:val="000000"/>
          <w:sz w:val="20"/>
          <w:u w:val="none"/>
        </w:rPr>
        <w:t xml:space="preserve"> from the Lenders (the “Senior Credit Facility”), comprising a (i) </w:t>
      </w:r>
      <w:r>
        <w:rPr>
          <w:rFonts w:ascii="Times New Roman" w:eastAsia="Times New Roman" w:hAnsi="Times New Roman" w:cs="Times New Roman"/>
          <w:b w:val="0"/>
          <w:i w:val="0"/>
          <w:color w:val="000000"/>
          <w:sz w:val="20"/>
          <w:u w:val="none"/>
        </w:rPr>
        <w:t>$85.0 million</w:t>
      </w:r>
      <w:r>
        <w:rPr>
          <w:rFonts w:ascii="Times New Roman" w:eastAsia="Times New Roman" w:hAnsi="Times New Roman" w:cs="Times New Roman"/>
          <w:b w:val="0"/>
          <w:i w:val="0"/>
          <w:color w:val="000000"/>
          <w:sz w:val="20"/>
          <w:u w:val="none"/>
        </w:rPr>
        <w:t xml:space="preserve"> (the “Initial Loan Balance”) term loan facility, all of which was drawn on October 15, 2026 (the “Closing Date”), (ii) </w:t>
      </w:r>
      <w:r>
        <w:rPr>
          <w:rFonts w:ascii="Times New Roman" w:eastAsia="Times New Roman" w:hAnsi="Times New Roman" w:cs="Times New Roman"/>
          <w:b w:val="0"/>
          <w:i w:val="0"/>
          <w:color w:val="000000"/>
          <w:sz w:val="20"/>
          <w:u w:val="none"/>
        </w:rPr>
        <w:t>$10.0 million</w:t>
      </w:r>
      <w:r>
        <w:rPr>
          <w:rFonts w:ascii="Times New Roman" w:eastAsia="Times New Roman" w:hAnsi="Times New Roman" w:cs="Times New Roman"/>
          <w:b w:val="0"/>
          <w:i w:val="0"/>
          <w:color w:val="000000"/>
          <w:sz w:val="20"/>
          <w:u w:val="none"/>
        </w:rPr>
        <w:t xml:space="preserve"> </w:t>
      </w:r>
      <w:r>
        <w:rPr>
          <w:rFonts w:ascii="Times New Roman" w:eastAsia="Times New Roman" w:hAnsi="Times New Roman" w:cs="Times New Roman"/>
          <w:b w:val="0"/>
          <w:i w:val="0"/>
          <w:color w:val="000000"/>
          <w:sz w:val="20"/>
          <w:u w:val="none"/>
        </w:rPr>
        <w:t>five</w:t>
      </w:r>
      <w:r>
        <w:rPr>
          <w:rFonts w:ascii="Times New Roman" w:eastAsia="Times New Roman" w:hAnsi="Times New Roman" w:cs="Times New Roman"/>
          <w:b w:val="0"/>
          <w:i w:val="0"/>
          <w:color w:val="000000"/>
          <w:sz w:val="20"/>
          <w:u w:val="none"/>
        </w:rPr>
        <w:t>-year</w:t>
      </w:r>
      <w:r>
        <w:rPr>
          <w:rFonts w:ascii="Times New Roman" w:eastAsia="Times New Roman" w:hAnsi="Times New Roman" w:cs="Times New Roman"/>
          <w:b w:val="0"/>
          <w:i w:val="0"/>
          <w:color w:val="000000"/>
          <w:sz w:val="20"/>
          <w:u w:val="none"/>
        </w:rPr>
        <w:t xml:space="preserve"> revolving credit facility (the “Revolving Facility”), and (iii) </w:t>
      </w:r>
      <w:r>
        <w:rPr>
          <w:rFonts w:ascii="Times New Roman" w:eastAsia="Times New Roman" w:hAnsi="Times New Roman" w:cs="Times New Roman"/>
          <w:b w:val="0"/>
          <w:i w:val="0"/>
          <w:color w:val="000000"/>
          <w:sz w:val="20"/>
          <w:u w:val="none"/>
        </w:rPr>
        <w:t>$20.0 million</w:t>
      </w:r>
      <w:r>
        <w:rPr>
          <w:rFonts w:ascii="Times New Roman" w:eastAsia="Times New Roman" w:hAnsi="Times New Roman" w:cs="Times New Roman"/>
          <w:b w:val="0"/>
          <w:i w:val="0"/>
          <w:color w:val="000000"/>
          <w:sz w:val="20"/>
          <w:u w:val="none"/>
        </w:rPr>
        <w:t xml:space="preserve"> delayed-draw term loan facility (the “DDTL Facility”). After the Closing Date, we are permitted to incur (a) additional term loans under a new term facility to be included in the Senior Credit Facility and/or (b) increases in the Revolving Credit Facility, in an aggregate principal amount not to exceed </w:t>
      </w:r>
      <w:r>
        <w:rPr>
          <w:rFonts w:ascii="Times New Roman" w:eastAsia="Times New Roman" w:hAnsi="Times New Roman" w:cs="Times New Roman"/>
          <w:b w:val="0"/>
          <w:i w:val="0"/>
          <w:color w:val="000000"/>
          <w:sz w:val="20"/>
          <w:u w:val="none"/>
        </w:rPr>
        <w:t>$30 million</w:t>
      </w:r>
      <w:r>
        <w:rPr>
          <w:rFonts w:ascii="Times New Roman" w:eastAsia="Times New Roman" w:hAnsi="Times New Roman" w:cs="Times New Roman"/>
          <w:b w:val="0"/>
          <w:i w:val="0"/>
          <w:color w:val="000000"/>
          <w:sz w:val="20"/>
          <w:u w:val="none"/>
        </w:rPr>
        <w:t>, subject to the terms and conditions set forth in the Credit Agreement.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Subject to the conditions set forth in the Credit Agreement, the Revolving Facility is available through October 15, 2031 and the DDTL Facility is available through October 15, 2028.</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We will begin to make principal payments on the Initial Loan Balance in quarterly installments beginning on April 1, 2027, such that </w:t>
      </w:r>
      <w:r>
        <w:rPr>
          <w:rFonts w:ascii="Times New Roman" w:eastAsia="Times New Roman" w:hAnsi="Times New Roman" w:cs="Times New Roman"/>
          <w:b w:val="0"/>
          <w:i w:val="0"/>
          <w:color w:val="000000"/>
          <w:sz w:val="20"/>
          <w:u w:val="none"/>
        </w:rPr>
        <w:t>2.5%</w:t>
      </w:r>
      <w:r>
        <w:rPr>
          <w:rFonts w:ascii="Times New Roman" w:eastAsia="Times New Roman" w:hAnsi="Times New Roman" w:cs="Times New Roman"/>
          <w:b w:val="0"/>
          <w:i w:val="0"/>
          <w:color w:val="000000"/>
          <w:sz w:val="20"/>
          <w:u w:val="none"/>
        </w:rPr>
        <w:t xml:space="preserve"> of the Initial Loan Balance will be paid in the first year, </w:t>
      </w:r>
      <w:r>
        <w:rPr>
          <w:rFonts w:ascii="Times New Roman" w:eastAsia="Times New Roman" w:hAnsi="Times New Roman" w:cs="Times New Roman"/>
          <w:b w:val="0"/>
          <w:i w:val="0"/>
          <w:color w:val="000000"/>
          <w:sz w:val="20"/>
          <w:u w:val="none"/>
        </w:rPr>
        <w:t>5.0%</w:t>
      </w:r>
      <w:r>
        <w:rPr>
          <w:rFonts w:ascii="Times New Roman" w:eastAsia="Times New Roman" w:hAnsi="Times New Roman" w:cs="Times New Roman"/>
          <w:b w:val="0"/>
          <w:i w:val="0"/>
          <w:color w:val="000000"/>
          <w:sz w:val="20"/>
          <w:u w:val="none"/>
        </w:rPr>
        <w:t xml:space="preserve"> of the Initial Loan Balance will be paid in each of the second and third year, and </w:t>
      </w:r>
      <w:r>
        <w:rPr>
          <w:rFonts w:ascii="Times New Roman" w:eastAsia="Times New Roman" w:hAnsi="Times New Roman" w:cs="Times New Roman"/>
          <w:b w:val="0"/>
          <w:i w:val="0"/>
          <w:color w:val="000000"/>
          <w:sz w:val="20"/>
          <w:u w:val="none"/>
        </w:rPr>
        <w:t>7.5%</w:t>
      </w:r>
      <w:r>
        <w:rPr>
          <w:rFonts w:ascii="Times New Roman" w:eastAsia="Times New Roman" w:hAnsi="Times New Roman" w:cs="Times New Roman"/>
          <w:b w:val="0"/>
          <w:i w:val="0"/>
          <w:color w:val="000000"/>
          <w:sz w:val="20"/>
          <w:u w:val="none"/>
        </w:rPr>
        <w:t xml:space="preserve"> of the Initial Loan Balance will be paid in each of the fourth and fifth year, with the last payment being made on October 1, 2031, and the remaining Initial Loan Balance paid on the October 15, 2031 (the “Maturity Date”). We may, upon notice to MUFG pursuant to the Credit Agreement, voluntarily prepay amounts loaned under the Credit Agreement in whole or in part without premium or penalty, subject to certain conditions set forth therein.</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The interest rates that we will be charged under the Senior Credit Facility is generally equal to the Term SOFR (as defined in the Credit Agreement) plus the Applicable Rate (as defined in the Credit Agreement) or, at our option, the Base Rate (as defined in the Credit Agreement) plus the Applicable Rate. The Applicable Rate generally adjusts quarterly based on our Consolidated Net Leverage Ratio. With respect to Term SOFR loans, the Borrower may select interest periods of one, three or six months. For the Initial Loan Balance, we selected a three month interest period for Term SOFR and the interest rate to be charged during the initial three month interest period is </w:t>
      </w:r>
      <w:r>
        <w:rPr>
          <w:rFonts w:ascii="Times New Roman" w:eastAsia="Times New Roman" w:hAnsi="Times New Roman" w:cs="Times New Roman"/>
          <w:b w:val="0"/>
          <w:i w:val="0"/>
          <w:color w:val="000000"/>
          <w:sz w:val="20"/>
          <w:u w:val="none"/>
        </w:rPr>
        <w:t>7.04%</w:t>
      </w:r>
      <w:r>
        <w:rPr>
          <w:rFonts w:ascii="Times New Roman" w:eastAsia="Times New Roman" w:hAnsi="Times New Roman" w:cs="Times New Roman"/>
          <w:b w:val="0"/>
          <w:i w:val="0"/>
          <w:color w:val="000000"/>
          <w:sz w:val="20"/>
          <w:u w:val="none"/>
        </w:rPr>
        <w:t>, calculated on the basis of a year of 360 days and actual days elapsed, reflecting a rate based on Term SOFR plus three percent (</w:t>
      </w:r>
      <w:r>
        <w:rPr>
          <w:rFonts w:ascii="Times New Roman" w:eastAsia="Times New Roman" w:hAnsi="Times New Roman" w:cs="Times New Roman"/>
          <w:b w:val="0"/>
          <w:i w:val="0"/>
          <w:color w:val="000000"/>
          <w:sz w:val="20"/>
          <w:u w:val="none"/>
        </w:rPr>
        <w:t>3.00%</w:t>
      </w:r>
      <w:r>
        <w:rPr>
          <w:rFonts w:ascii="Times New Roman" w:eastAsia="Times New Roman" w:hAnsi="Times New Roman" w:cs="Times New Roman"/>
          <w:b w:val="0"/>
          <w:i w:val="0"/>
          <w:color w:val="000000"/>
          <w:sz w:val="20"/>
          <w:u w:val="none"/>
        </w:rPr>
        <w:t>), as provided in the Credit Agreement.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We are subject to customary events of default as described in the Credit Agreement, including insolvency of the Company, breaches of certain covenants and representations and warranties, and failures to pay. In such event, and for so long as it continues, the outstanding loan balance will bear interest at a rate per annum, subject to certain exceptions set forth in the Credit Agreement, (i) equal to two percent (</w:t>
      </w:r>
      <w:r>
        <w:rPr>
          <w:rFonts w:ascii="Times New Roman" w:eastAsia="Times New Roman" w:hAnsi="Times New Roman" w:cs="Times New Roman"/>
          <w:b w:val="0"/>
          <w:i w:val="0"/>
          <w:color w:val="000000"/>
          <w:sz w:val="20"/>
          <w:u w:val="none"/>
        </w:rPr>
        <w:t>2.00%</w:t>
      </w:r>
      <w:r>
        <w:rPr>
          <w:rFonts w:ascii="Times New Roman" w:eastAsia="Times New Roman" w:hAnsi="Times New Roman" w:cs="Times New Roman"/>
          <w:b w:val="0"/>
          <w:i w:val="0"/>
          <w:color w:val="000000"/>
          <w:sz w:val="20"/>
          <w:u w:val="none"/>
        </w:rPr>
        <w:t>) in excess of the rate otherwise applicable thereto, and (ii) with respect to any loan for which a rate is not specified or available, a rate per annum equal to the Base Rate (as defined in the Credit Agreement), plus (a) the Applicable Rate for revolving loans that are Base Rate Loans (as defined in the Credit Agreement), plus (b) two percent (</w:t>
      </w:r>
      <w:r>
        <w:rPr>
          <w:rFonts w:ascii="Times New Roman" w:eastAsia="Times New Roman" w:hAnsi="Times New Roman" w:cs="Times New Roman"/>
          <w:b w:val="0"/>
          <w:i w:val="0"/>
          <w:color w:val="000000"/>
          <w:sz w:val="20"/>
          <w:u w:val="none"/>
        </w:rPr>
        <w:t>2.00%</w:t>
      </w:r>
      <w:r>
        <w:rPr>
          <w:rFonts w:ascii="Times New Roman" w:eastAsia="Times New Roman" w:hAnsi="Times New Roman" w:cs="Times New Roman"/>
          <w:b w:val="0"/>
          <w:i w:val="0"/>
          <w:color w:val="000000"/>
          <w:sz w:val="20"/>
          <w:u w:val="none"/>
        </w:rPr>
        <w:t>), in each case, to the fullest extent permitted by applicable law.</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Under the Credit Agreement, we covenant to maintain a (i) Consolidated Net Leverage Ratio (as defined in the Credit Agreement), as tested quarterly, no greater than </w:t>
      </w:r>
      <w:r>
        <w:rPr>
          <w:rFonts w:ascii="Times New Roman" w:eastAsia="Times New Roman" w:hAnsi="Times New Roman" w:cs="Times New Roman"/>
          <w:b w:val="0"/>
          <w:i w:val="0"/>
          <w:color w:val="000000"/>
          <w:sz w:val="20"/>
          <w:u w:val="none"/>
        </w:rPr>
        <w:t>3.50</w:t>
      </w:r>
      <w:r>
        <w:rPr>
          <w:rFonts w:ascii="Times New Roman" w:eastAsia="Times New Roman" w:hAnsi="Times New Roman" w:cs="Times New Roman"/>
          <w:b w:val="0"/>
          <w:i w:val="0"/>
          <w:color w:val="000000"/>
          <w:sz w:val="20"/>
          <w:u w:val="none"/>
        </w:rPr>
        <w:t xml:space="preserve"> to 1.00 (subject to certain conditions set forth therein), and (ii) Consolidated Fixed Charge Coverage Ratio (as defined in the Credit Agreement), as tested quarterly, of not less than </w:t>
      </w:r>
      <w:r>
        <w:rPr>
          <w:rFonts w:ascii="Times New Roman" w:eastAsia="Times New Roman" w:hAnsi="Times New Roman" w:cs="Times New Roman"/>
          <w:b w:val="0"/>
          <w:i w:val="0"/>
          <w:color w:val="000000"/>
          <w:sz w:val="20"/>
          <w:u w:val="none"/>
        </w:rPr>
        <w:t>1.25</w:t>
      </w:r>
      <w:r>
        <w:rPr>
          <w:rFonts w:ascii="Times New Roman" w:eastAsia="Times New Roman" w:hAnsi="Times New Roman" w:cs="Times New Roman"/>
          <w:b w:val="0"/>
          <w:i w:val="0"/>
          <w:color w:val="000000"/>
          <w:sz w:val="20"/>
          <w:u w:val="none"/>
        </w:rPr>
        <w:t xml:space="preserve"> to 1.00. The Senior Credit Facility is secured by substantially all of the assets of the Company.</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In connection with the Credit Agreement, we incurred </w:t>
      </w:r>
      <w:r>
        <w:rPr>
          <w:rFonts w:ascii="Times New Roman" w:eastAsia="Times New Roman" w:hAnsi="Times New Roman" w:cs="Times New Roman"/>
          <w:b w:val="0"/>
          <w:i w:val="0"/>
          <w:color w:val="000000"/>
          <w:sz w:val="20"/>
          <w:u w:val="none"/>
        </w:rPr>
        <w:t>$1,226</w:t>
      </w:r>
      <w:r>
        <w:rPr>
          <w:rFonts w:ascii="Times New Roman" w:eastAsia="Times New Roman" w:hAnsi="Times New Roman" w:cs="Times New Roman"/>
          <w:b w:val="0"/>
          <w:i w:val="0"/>
          <w:color w:val="000000"/>
          <w:sz w:val="20"/>
          <w:u w:val="none"/>
        </w:rPr>
        <w:t xml:space="preserve"> of origination, legal, and other fees that represent debt financing costs to be deferred and amortized over the duration of the Credit Agreement. As a result, net proceeds of the Credit Agreement were </w:t>
      </w:r>
      <w:r>
        <w:rPr>
          <w:rFonts w:ascii="Times New Roman" w:eastAsia="Times New Roman" w:hAnsi="Times New Roman" w:cs="Times New Roman"/>
          <w:b w:val="0"/>
          <w:i w:val="0"/>
          <w:color w:val="000000"/>
          <w:sz w:val="20"/>
          <w:u w:val="none"/>
        </w:rPr>
        <w:t>$83,774</w:t>
      </w:r>
      <w:r>
        <w:rPr>
          <w:rFonts w:ascii="Times New Roman" w:eastAsia="Times New Roman" w:hAnsi="Times New Roman" w:cs="Times New Roman"/>
          <w:b w:val="0"/>
          <w:i w:val="0"/>
          <w:color w:val="000000"/>
          <w:sz w:val="20"/>
          <w:u w:val="none"/>
        </w:rPr>
        <w: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r>
        <w:rPr>
          <w:rFonts w:ascii="Times New Roman" w:eastAsia="Times New Roman" w:hAnsi="Times New Roman" w:cs="Times New Roman"/>
          <w:b w:val="0"/>
          <w:i/>
          <w:color w:val="000000"/>
          <w:sz w:val="20"/>
          <w:highlight w:val="white"/>
          <w:u w:val="none"/>
        </w:rPr>
        <w:t>Extinguishment of Credit, Security and Guaranty Agreement with MidCap Financial Trust</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In connection with the entry into the Credit Agreement on October 15, 2026, we terminated the Loan Agreement with MidCap and the secured promissory note (the “Note”) with MidCap, evidencing its obligations under the Loan Agreement. In connection with this termination, the Company paid to MidCap for the benefit of lenders under the Loan Agreement an aggregate amount of  </w:t>
      </w:r>
      <w:r>
        <w:rPr>
          <w:rFonts w:ascii="Times New Roman" w:eastAsia="Times New Roman" w:hAnsi="Times New Roman" w:cs="Times New Roman"/>
          <w:b w:val="0"/>
          <w:i w:val="0"/>
          <w:color w:val="000000"/>
          <w:sz w:val="20"/>
          <w:u w:val="none"/>
        </w:rPr>
        <w:t>$62,646</w:t>
      </w:r>
      <w:r>
        <w:rPr>
          <w:rFonts w:ascii="Times New Roman" w:eastAsia="Times New Roman" w:hAnsi="Times New Roman" w:cs="Times New Roman"/>
          <w:b w:val="0"/>
          <w:i w:val="0"/>
          <w:color w:val="000000"/>
          <w:sz w:val="20"/>
          <w:u w:val="none"/>
        </w:rPr>
        <w:t xml:space="preserve"> (the “Payoff Amount”) in full payment of its outstanding obligations under the Loan Agreement and Note. The Payoff Amount represented approximately </w:t>
      </w:r>
      <w:r>
        <w:rPr>
          <w:rFonts w:ascii="Times New Roman" w:eastAsia="Times New Roman" w:hAnsi="Times New Roman" w:cs="Times New Roman"/>
          <w:b w:val="0"/>
          <w:i w:val="0"/>
          <w:color w:val="000000"/>
          <w:sz w:val="20"/>
          <w:u w:val="none"/>
        </w:rPr>
        <w:t>$60,208</w:t>
      </w:r>
      <w:r>
        <w:rPr>
          <w:rFonts w:ascii="Times New Roman" w:eastAsia="Times New Roman" w:hAnsi="Times New Roman" w:cs="Times New Roman"/>
          <w:b w:val="0"/>
          <w:i w:val="0"/>
          <w:color w:val="000000"/>
          <w:sz w:val="20"/>
          <w:u w:val="none"/>
        </w:rPr>
        <w:t xml:space="preserve"> outstanding of principal and interest on the unpaid principal balance and </w:t>
      </w:r>
      <w:r>
        <w:rPr>
          <w:rFonts w:ascii="Times New Roman" w:eastAsia="Times New Roman" w:hAnsi="Times New Roman" w:cs="Times New Roman"/>
          <w:b w:val="0"/>
          <w:i w:val="0"/>
          <w:color w:val="000000"/>
          <w:sz w:val="20"/>
          <w:u w:val="none"/>
        </w:rPr>
        <w:t>$2,438</w:t>
      </w:r>
      <w:r>
        <w:rPr>
          <w:rFonts w:ascii="Times New Roman" w:eastAsia="Times New Roman" w:hAnsi="Times New Roman" w:cs="Times New Roman"/>
          <w:b w:val="0"/>
          <w:i w:val="0"/>
          <w:color w:val="000000"/>
          <w:sz w:val="20"/>
          <w:u w:val="none"/>
        </w:rPr>
        <w:t xml:space="preserve"> of prepayment and termination fees and other expenses due to MidCap. All promissory notes previously subordinated to the Loan Agreement with MidCap are now subordinated to the Credit Agreement with MUFG.</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r>
        <w:rPr>
          <w:rFonts w:ascii="Times New Roman" w:eastAsia="Times New Roman" w:hAnsi="Times New Roman" w:cs="Times New Roman"/>
          <w:b w:val="0"/>
          <w:i/>
          <w:color w:val="000000"/>
          <w:sz w:val="20"/>
          <w:highlight w:val="white"/>
          <w:u w:val="none"/>
        </w:rPr>
        <w:t>Asset Purchase Agreement</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color w:val="000000"/>
          <w:sz w:val="20"/>
          <w:u w:val="none"/>
        </w:rPr>
        <w:t xml:space="preserve">On October 15, 2026, we acquired certain assets of a payroll processing business primarily located in the southeastern United States, which included the purchase of developed technology that will be used to update some of our product offerings. The aggregate purchase price that we paid for these assets was </w:t>
      </w:r>
      <w:r>
        <w:rPr>
          <w:rFonts w:ascii="Times New Roman" w:eastAsia="Times New Roman" w:hAnsi="Times New Roman" w:cs="Times New Roman"/>
          <w:b w:val="0"/>
          <w:i w:val="0"/>
          <w:color w:val="000000"/>
          <w:sz w:val="20"/>
          <w:u w:val="none"/>
        </w:rPr>
        <w:t>$26,500</w:t>
      </w:r>
      <w:r>
        <w:rPr>
          <w:rFonts w:ascii="Times New Roman" w:eastAsia="Times New Roman" w:hAnsi="Times New Roman" w:cs="Times New Roman"/>
          <w:b w:val="0"/>
          <w:i w:val="0"/>
          <w:color w:val="000000"/>
          <w:sz w:val="20"/>
          <w:u w:val="none"/>
        </w:rPr>
        <w:t xml:space="preserve">, consisting of </w:t>
      </w:r>
      <w:r>
        <w:rPr>
          <w:rFonts w:ascii="Times New Roman" w:eastAsia="Times New Roman" w:hAnsi="Times New Roman" w:cs="Times New Roman"/>
          <w:b w:val="0"/>
          <w:i w:val="0"/>
          <w:color w:val="000000"/>
          <w:sz w:val="20"/>
          <w:u w:val="none"/>
        </w:rPr>
        <w:t>$13,500</w:t>
      </w:r>
      <w:r>
        <w:rPr>
          <w:rFonts w:ascii="Times New Roman" w:eastAsia="Times New Roman" w:hAnsi="Times New Roman" w:cs="Times New Roman"/>
          <w:b w:val="0"/>
          <w:i w:val="0"/>
          <w:color w:val="000000"/>
          <w:sz w:val="20"/>
          <w:u w:val="none"/>
        </w:rPr>
        <w:t xml:space="preserve"> paid in cash on hand, </w:t>
      </w:r>
      <w:r>
        <w:rPr>
          <w:rFonts w:ascii="Times New Roman" w:eastAsia="Times New Roman" w:hAnsi="Times New Roman" w:cs="Times New Roman"/>
          <w:b w:val="0"/>
          <w:i w:val="0"/>
          <w:color w:val="000000"/>
          <w:sz w:val="20"/>
          <w:u w:val="none"/>
        </w:rPr>
        <w:t>1,206</w:t>
      </w:r>
      <w:r>
        <w:rPr>
          <w:rFonts w:ascii="Times New Roman" w:eastAsia="Times New Roman" w:hAnsi="Times New Roman" w:cs="Times New Roman"/>
          <w:b w:val="0"/>
          <w:i w:val="0"/>
          <w:color w:val="000000"/>
          <w:sz w:val="20"/>
          <w:u w:val="none"/>
        </w:rPr>
        <w:t xml:space="preserve"> shares of Asure common stock, having an agreed value of </w:t>
      </w:r>
      <w:r>
        <w:rPr>
          <w:rFonts w:ascii="Times New Roman" w:eastAsia="Times New Roman" w:hAnsi="Times New Roman" w:cs="Times New Roman"/>
          <w:b w:val="0"/>
          <w:i w:val="0"/>
          <w:color w:val="000000"/>
          <w:sz w:val="20"/>
          <w:u w:val="none"/>
        </w:rPr>
        <w:t>$10,000</w:t>
      </w:r>
      <w:r>
        <w:rPr>
          <w:rFonts w:ascii="Times New Roman" w:eastAsia="Times New Roman" w:hAnsi="Times New Roman" w:cs="Times New Roman"/>
          <w:b w:val="0"/>
          <w:i w:val="0"/>
          <w:color w:val="000000"/>
          <w:sz w:val="20"/>
          <w:u w:val="none"/>
        </w:rPr>
        <w:t xml:space="preserve">, and the remaining </w:t>
      </w:r>
      <w:r>
        <w:rPr>
          <w:rFonts w:ascii="Times New Roman" w:eastAsia="Times New Roman" w:hAnsi="Times New Roman" w:cs="Times New Roman"/>
          <w:b w:val="0"/>
          <w:i w:val="0"/>
          <w:color w:val="000000"/>
          <w:sz w:val="20"/>
          <w:u w:val="none"/>
        </w:rPr>
        <w:t>$3,000</w:t>
      </w:r>
      <w:r>
        <w:rPr>
          <w:rFonts w:ascii="Times New Roman" w:eastAsia="Times New Roman" w:hAnsi="Times New Roman" w:cs="Times New Roman"/>
          <w:b w:val="0"/>
          <w:i w:val="0"/>
          <w:color w:val="000000"/>
          <w:sz w:val="20"/>
          <w:u w:val="none"/>
        </w:rPr>
        <w:t xml:space="preserve"> in the form of a promissory note with the principal balance due on April 15, 2028.</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highlight w:val="white"/>
          <w:u w:val="none"/>
        </w:rPr>
      </w:pPr>
    </w:p>
    <w:p>
      <w:pPr>
        <w:keepNext w:val="0"/>
        <w:keepLines/>
        <w:pageBreakBefore w:val="0"/>
        <w:widowControl w:val="0"/>
        <w:numPr>
          <w:ilvl w:val="0"/>
          <w:numId w:val="0"/>
        </w:numPr>
        <w:spacing w:before="0" w:after="0" w:line="288" w:lineRule="auto"/>
        <w:ind w:left="0" w:right="0" w:firstLine="0"/>
        <w:jc w:val="left"/>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1"/>
        <w:rPr>
          <w:rFonts w:ascii="Times New Roman" w:eastAsia="Times New Roman" w:hAnsi="Times New Roman" w:cs="Times New Roman"/>
          <w:b/>
          <w:i w:val="0"/>
          <w:sz w:val="20"/>
        </w:rPr>
      </w:pPr>
      <w:bookmarkStart w:id="21" w:name="Section22"/>
      <w:bookmarkEnd w:id="21"/>
      <w:r>
        <w:rPr>
          <w:rFonts w:ascii="Times New Roman" w:eastAsia="Times New Roman" w:hAnsi="Times New Roman" w:cs="Times New Roman"/>
          <w:b/>
          <w:i w:val="0"/>
          <w:sz w:val="20"/>
        </w:rPr>
        <w:t>ITEM 2. MANAGEMENT’S DISCUSSION AND ANALYSIS OF FINANCIAL CONDITION AND RESULTS OF OPERATIONS</w:t>
      </w:r>
    </w:p>
    <w:p>
      <w:pPr>
        <w:keepNext/>
        <w:keepLines/>
        <w:pageBreakBefore w:val="0"/>
        <w:widowControl w:val="0"/>
        <w:numPr>
          <w:ilvl w:val="0"/>
          <w:numId w:val="0"/>
        </w:numPr>
        <w:spacing w:before="0" w:after="0" w:line="288" w:lineRule="auto"/>
        <w:ind w:left="0" w:right="0" w:firstLine="0"/>
        <w:jc w:val="left"/>
        <w:outlineLvl w:val="1"/>
        <w:sectPr>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bookmarkStart w:id="22" w:name="Section23"/>
      <w:bookmarkEnd w:id="22"/>
    </w:p>
    <w:p>
      <w:pPr>
        <w:keepNext/>
        <w:keepLines/>
        <w:pageBreakBefore w:val="0"/>
        <w:widowControl w:val="0"/>
        <w:numPr>
          <w:ilvl w:val="0"/>
          <w:numId w:val="0"/>
        </w:numPr>
        <w:spacing w:before="0" w:after="0" w:line="288" w:lineRule="auto"/>
        <w:ind w:left="0" w:right="0" w:firstLine="0"/>
        <w:jc w:val="both"/>
        <w:outlineLvl w:val="2"/>
        <w:rPr>
          <w:rFonts w:ascii="Times New Roman" w:eastAsia="Times New Roman" w:hAnsi="Times New Roman" w:cs="Times New Roman"/>
          <w:b/>
          <w:i w:val="0"/>
          <w:sz w:val="20"/>
        </w:rPr>
      </w:pPr>
      <w:r>
        <w:rPr>
          <w:rFonts w:ascii="Times New Roman" w:eastAsia="Times New Roman" w:hAnsi="Times New Roman" w:cs="Times New Roman"/>
          <w:b/>
          <w:i w:val="0"/>
          <w:sz w:val="20"/>
        </w:rPr>
        <w:t>CAUTIONARY STATEMENT REGARDING FORWARD-LOOKING STATEMENTS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highlight w:val="yellow"/>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This Quarterly Report on Form 10-Q contains certain statements made by management that may constitute “forward-looking” statements within the meaning of the safe harbor provisions of the U.S. Private Securities Litigation Reform Act of 1995. These forward-looking statements about our financial results may include expected or projected U.S GAAP and other operating and non-operating results. The words “believe,” “may,” “will,” “estimate,” “projects,” “anticipate,” “intend,” “expect,” “should,” “plan,” and similar expressions are intended to identify forward-looking statements. Examples of forward-looking statements include statements we make regarding our operating performance, future results of operations and financial position, revenue growth, earnings or other projections. We have based these forward-looking statements largely on our current expectations and projections about future events and trends that we believe may affect our financial condition, results of operations, business strategy, short-term and long-term business operations and objectives, and financial needs. The achievement or success of the matters covered by such forward-looking statements involves risks, uncertainties and assumptions, over many of which we have no control. If any such risks or uncertainties materialize or if any of the assumptions prove incorrect, our results could differ materially from the results expressed or implied by the forward-looking statements we make. The risks and uncertainties referred to above include—but are not limited to—risks associated with breaches of our security measures; possible fluctuations in our financial and operating results; potential financing needed to meet future capital requirements; access to additional capital; volatility and weakness in bank and capital markets; the financial and other impact of any previous and future acquisitions; privacy concerns and laws and other regulations that may limit the effectiveness of our applications; inability to adopt new or correctly interpret existing money service and money transmitter business status;  risk of our software and solutions not functioning adequately; interruptions, delays or changes in our services or our Web hosting; significant costs as a result of operating as a public company; economic and governmental interruptions to supply chains; risks related to weaknesses in internal control; the inability to continue to release timely updates for changes in laws; the inability to develop new and improved versions of our services and technological developments; customer’s nonrenewal of their agreements and other similar changes; the exposure of market, interest, credit and liquidity risk on client funds held in trust; our operations in highly competitive markets; risks that our clients could have insufficient funds, limitations in the ability to transmit ACH transactions; the nature of our business model; impairment of intangible assets; litigation and any related claims, negotiations and settlements, including with respect to intellectual property matters or industry-specific regulations; market demand of our Software-as-a-Service offerings; adverse effects to our business a result of claims, lawsuits, and other proceedings; adverse material effects caused by advancements and adoption of artificial intelligence; issues in the use of artificial intelligence in our HCM products and services; adverse changes to financial accounting standards to us; intellectual property risks associated with the use of open source software; failures of our service providers; factors affecting our deferred tax assets and ability to value and utilize them; inability to maintain third-party licensed software; evolving regulation of the Internet, changes in the infrastructure underlying the Internet or interruptions in Internet services; the expiration of Employee Retention Tax Credits (“ERTC”) and the impact of recent regulatory and other measures by governmental authorities-regarding ERTC claims and the corresponding cash collections of existing receivables; our ability to hire, retain and motivate employees and manage our growth; potential enactment of adverse tax laws, regulation, political, economic and social factors; potential sales of a substantial number of shares of our common stock along with its volatility; and risks associated with potential equity-related transactions including dividends, rights under the stockholder plan to discourage certain actions and other impacts as a result of actions of our stockholders.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green"/>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Further information on these and other factors that could affect our financial results is included in the reports on Forms 10-K, 10-Q and 8-K, and in other filings we make with the Securities and Exchange Commission (the “SEC”) from time to time. These documents are available on the SEC Filings section of the Investor Information section of our website at investor.asuresoftware.com. Asure assumes no obligation and does not intend to update these forward-looking statements, except as required by law.</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23" w:name="Section24"/>
      <w:bookmarkEnd w:id="23"/>
    </w:p>
    <w:p>
      <w:pPr>
        <w:keepNext/>
        <w:keepLines/>
        <w:pageBreakBefore w:val="0"/>
        <w:widowControl w:val="0"/>
        <w:numPr>
          <w:ilvl w:val="0"/>
          <w:numId w:val="0"/>
        </w:numPr>
        <w:spacing w:before="0" w:after="0" w:line="288" w:lineRule="auto"/>
        <w:ind w:left="0" w:right="0" w:firstLine="0"/>
        <w:jc w:val="both"/>
        <w:outlineLvl w:val="2"/>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OVERVIEW</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highlight w:val="white"/>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 following review of Asure’s financial position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sz w:val="20"/>
        </w:rPr>
        <w:t xml:space="preserve">, and results of operations for the three and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should be read in conjunction with our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Annual Report on Form 10-K filed with the SEC on </w:t>
      </w:r>
      <w:r>
        <w:rPr>
          <w:rFonts w:ascii="Times New Roman" w:eastAsia="Times New Roman" w:hAnsi="Times New Roman" w:cs="Times New Roman"/>
          <w:b w:val="0"/>
          <w:i w:val="0"/>
          <w:color w:val="000000"/>
          <w:sz w:val="20"/>
          <w:u w:val="none"/>
        </w:rPr>
        <w:t>February 26, 2026</w:t>
      </w:r>
      <w:r>
        <w:rPr>
          <w:rFonts w:ascii="Times New Roman" w:eastAsia="Times New Roman" w:hAnsi="Times New Roman" w:cs="Times New Roman"/>
          <w:b w:val="0"/>
          <w:i w:val="0"/>
          <w:sz w:val="20"/>
        </w:rPr>
        <w:t xml:space="preserve"> and our quarterly reports filed with the SEC on April 30, 2026, and July 30, 2026. Our annual reports on Form 10-K, quarterly reports on Form 10-Q, current reports on Form 8-K and amendments to those reports filed or furnished pursuant to Section 13(a) or 15(d) of the Securities Exchange Act of 1934, as amended (the “Exchange Act”) are available through the investor relations page of our internet website free of charge as soon as reasonably practicable after they are electronically filed, or furnished to, the SEC. Asure’s internet website and the information contained in our website or connected to our website are not incorporated into this Quarterly Report on Form 10-Q. However, we do post information on the investor relations page of our website that we believe may be of interest to our investors. Asure’s internet website address is www.asuresoftware.com.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Our Business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We are a </w:t>
      </w:r>
      <w:r>
        <w:rPr>
          <w:rFonts w:ascii="Times New Roman" w:eastAsia="Times New Roman" w:hAnsi="Times New Roman" w:cs="Times New Roman"/>
          <w:b w:val="0"/>
          <w:i w:val="0"/>
          <w:color w:val="000000"/>
          <w:sz w:val="20"/>
          <w:u w:val="none"/>
        </w:rPr>
        <w:t>provider of cloud-based Human Capital Management (“HCM”) software solutions delivered as Software-as-a-Service (“SaaS”) to businesses of all sizes. We offer human resources (“HR”) tools necessary to build a thriving workforce, provide the resources to stay compliant with dynamic federal, state, and local tax jurisdictions and their respective labor laws, freeing cash flows so these businesses can spend their financial capital on growing their businesses rather than administrative overhead that can impede growth. Our solutions also provide new ways for employers to connect with their employees and strengthen relationships with their talent. At the core of our offering is the Asure HCM platform—a SaaS-based system that includes Payroll &amp; Tax filing, HR management tools, Time &amp; Attendance software, Recruiting, and Insurance and Benefits Administration. This platform serves as the foundation for delivering both our core software and a range of complementary, technology-enabled services. These include AsureMarketplace™, which automates data exchange between our HCM system and third-party providers to increase efficiency, accuracy, and breadth of services. Our HR Compliance services combine expert guidance with scalable digital delivery. AsurePay®, our payroll card, which we provide in association with our partners, offers employees fast, secure access to earned wages. Additionally, through our licensed brokerage, we offer Insurance Services that help employers manage benefits and reduce administrative costs. We deliver our solutions directly and through a national network of Reseller Partners.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u w:val="none"/>
        </w:rPr>
        <w:t>We strive to be the most trusted HCM resource.</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Our solutions solve three primary challenges that prevent businesses from growing: HR complexity, allocation of human and financial capital, and the ability to build great teams. We sell our solutions through both direct and partner channels. We supplement our direct sales efforts with partner programs that afford us access to opportunities in various geographic and industry niches. Asure has two types of partners: Reseller Partners that white label our products while providing value-added services to their clients (our indirect clients) and Referral Partners that provide us with client leads but do not resell our solutions. We have and will continue to invest in research and development to expand our solutions. Our solutions reduce the administrative burden on employers and increase employee productivity while managing the employment lifecycle. The Asure HCM suite includes eight product lines: Asure Payroll &amp; Tax, Asure HR Compliance, Asure Time &amp; Attendance, AsureRecruiting®, Asure Insurance and Benefits Administration, AsurePay™, Asure Tax Management Solutions,  and AsureMarketplace™.</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highlight w:val="white"/>
          <w:u w:val="none"/>
        </w:rPr>
        <w:t>From recruitment to retirement, our solutions help more than 100,000 clients across the United States. Approximately 35% of our clients are direct and the remaining clients are indirect, as they have contracts with reseller partners who white label our solutions.</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left"/>
        <w:outlineLvl w:val="2"/>
        <w:rPr>
          <w:rFonts w:ascii="Times New Roman" w:eastAsia="Times New Roman" w:hAnsi="Times New Roman" w:cs="Times New Roman"/>
          <w:b/>
          <w:i w:val="0"/>
          <w:sz w:val="20"/>
        </w:rPr>
      </w:pPr>
      <w:bookmarkStart w:id="24" w:name="Section25"/>
      <w:bookmarkEnd w:id="24"/>
      <w:r>
        <w:rPr>
          <w:rFonts w:ascii="Times New Roman" w:eastAsia="Times New Roman" w:hAnsi="Times New Roman" w:cs="Times New Roman"/>
          <w:b/>
          <w:i w:val="0"/>
          <w:sz w:val="20"/>
        </w:rPr>
        <w:t xml:space="preserve">RESULTS OF OPERATIONS </w:t>
      </w:r>
      <w:r>
        <w:rPr>
          <w:rFonts w:ascii="Times New Roman" w:eastAsia="Times New Roman" w:hAnsi="Times New Roman" w:cs="Times New Roman"/>
          <w:b w:val="0"/>
          <w:i w:val="0"/>
          <w:sz w:val="20"/>
        </w:rPr>
        <w:t>(in thousands)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sz w:val="20"/>
        </w:rPr>
      </w:pPr>
      <w:r>
        <w:rPr>
          <w:rFonts w:ascii="Times New Roman" w:eastAsia="Times New Roman" w:hAnsi="Times New Roman" w:cs="Times New Roman"/>
          <w:b w:val="0"/>
          <w:i w:val="0"/>
          <w:sz w:val="20"/>
        </w:rPr>
        <w:t xml:space="preserve">The following table sets forth, for the fiscal periods indicated, the percentage of total revenue represented by certain items in our Condensed Consolidated Statements of Comprehensive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sz w:val="20"/>
        </w:rPr>
        <w:t>:</w:t>
      </w:r>
    </w:p>
    <w:tbl>
      <w:tblPr>
        <w:tblStyle w:val="TableNormal0"/>
        <w:tblW w:w="8415" w:type="dxa"/>
        <w:jc w:val="center"/>
        <w:tblLayout w:type="fixed"/>
      </w:tblPr>
      <w:tblGrid>
        <w:gridCol w:w="5205"/>
        <w:gridCol w:w="105"/>
        <w:gridCol w:w="1515"/>
        <w:gridCol w:w="75"/>
        <w:gridCol w:w="1515"/>
      </w:tblGrid>
      <w:tr>
        <w:tblPrEx>
          <w:tblW w:w="8415" w:type="dxa"/>
          <w:tblLayout w:type="fixed"/>
        </w:tblPrEx>
        <w:trPr>
          <w:trHeight w:hRule="exact" w:val="285"/>
        </w:trPr>
        <w:tc>
          <w:tcPr>
            <w:tcW w:w="520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105"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Nine Months Ended September 30,</w:t>
            </w:r>
          </w:p>
        </w:tc>
      </w:tr>
      <w:tr>
        <w:tblPrEx>
          <w:tblW w:w="8415" w:type="dxa"/>
          <w:tblLayout w:type="fixed"/>
        </w:tblPrEx>
        <w:trPr>
          <w:trHeight w:hRule="exact" w:val="285"/>
        </w:trPr>
        <w:tc>
          <w:tcPr>
            <w:tcW w:w="5205" w:type="dxa"/>
            <w:tcBorders>
              <w:top w:val="nil"/>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1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51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75"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51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r>
      <w:tr>
        <w:tblPrEx>
          <w:tblW w:w="8415" w:type="dxa"/>
          <w:tblLayout w:type="fixed"/>
        </w:tblPrEx>
        <w:trPr>
          <w:trHeight w:hRule="exact" w:val="285"/>
        </w:trPr>
        <w:tc>
          <w:tcPr>
            <w:tcW w:w="52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Revenue</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369"/>
              </w:tabs>
              <w:spacing w:before="33" w:after="30" w:line="240" w:lineRule="auto"/>
              <w:jc w:val="right"/>
            </w:pPr>
            <w:r>
              <w:rPr>
                <w:rFonts w:ascii="Times New Roman" w:eastAsia="Times New Roman" w:hAnsi="Times New Roman" w:cs="Times New Roman"/>
                <w:b w:val="0"/>
                <w:i w:val="0"/>
                <w:color w:val="000000"/>
                <w:sz w:val="20"/>
                <w:u w:val="none"/>
              </w:rPr>
              <w:tab/>
              <w:t>100</w:t>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369"/>
              </w:tabs>
              <w:spacing w:before="33" w:after="30" w:line="240" w:lineRule="auto"/>
              <w:jc w:val="right"/>
            </w:pPr>
            <w:r>
              <w:rPr>
                <w:rFonts w:ascii="Times New Roman" w:eastAsia="Times New Roman" w:hAnsi="Times New Roman" w:cs="Times New Roman"/>
                <w:b w:val="0"/>
                <w:i w:val="0"/>
                <w:color w:val="000000"/>
                <w:sz w:val="20"/>
                <w:u w:val="none"/>
              </w:rPr>
              <w:tab/>
              <w:t>100</w:t>
              <w:tab/>
              <w:t>%</w:t>
            </w:r>
          </w:p>
        </w:tc>
      </w:tr>
      <w:tr>
        <w:tblPrEx>
          <w:tblW w:w="8415" w:type="dxa"/>
          <w:tblLayout w:type="fixed"/>
        </w:tblPrEx>
        <w:trPr>
          <w:trHeight w:hRule="exact" w:val="285"/>
        </w:trPr>
        <w:tc>
          <w:tcPr>
            <w:tcW w:w="520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Gross profit</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70</w:t>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67</w:t>
              <w:tab/>
              <w:t>%</w:t>
            </w:r>
          </w:p>
        </w:tc>
      </w:tr>
      <w:tr>
        <w:tblPrEx>
          <w:tblW w:w="8415" w:type="dxa"/>
          <w:tblLayout w:type="fixed"/>
        </w:tblPrEx>
        <w:trPr>
          <w:trHeight w:hRule="exact" w:val="285"/>
        </w:trPr>
        <w:tc>
          <w:tcPr>
            <w:tcW w:w="52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Sales and marketing</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22</w:t>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25</w:t>
              <w:tab/>
              <w:t>%</w:t>
            </w:r>
          </w:p>
        </w:tc>
      </w:tr>
      <w:tr>
        <w:tblPrEx>
          <w:tblW w:w="8415" w:type="dxa"/>
          <w:tblLayout w:type="fixed"/>
        </w:tblPrEx>
        <w:trPr>
          <w:trHeight w:hRule="exact" w:val="285"/>
        </w:trPr>
        <w:tc>
          <w:tcPr>
            <w:tcW w:w="520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General and administrative</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31</w:t>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34</w:t>
              <w:tab/>
              <w:t>%</w:t>
            </w:r>
          </w:p>
        </w:tc>
      </w:tr>
      <w:tr>
        <w:tblPrEx>
          <w:tblW w:w="8415" w:type="dxa"/>
          <w:tblLayout w:type="fixed"/>
        </w:tblPrEx>
        <w:trPr>
          <w:trHeight w:hRule="exact" w:val="285"/>
        </w:trPr>
        <w:tc>
          <w:tcPr>
            <w:tcW w:w="52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Research and development</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169"/>
              </w:tabs>
              <w:spacing w:before="53" w:after="30" w:line="240" w:lineRule="auto"/>
              <w:jc w:val="right"/>
            </w:pPr>
            <w:r>
              <w:rPr>
                <w:rFonts w:ascii="Times New Roman" w:eastAsia="Times New Roman" w:hAnsi="Times New Roman" w:cs="Times New Roman"/>
                <w:b w:val="0"/>
                <w:i w:val="0"/>
                <w:color w:val="000000"/>
                <w:sz w:val="20"/>
                <w:u w:val="none"/>
              </w:rPr>
              <w:tab/>
              <w:t>4</w:t>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169"/>
              </w:tabs>
              <w:spacing w:before="53" w:after="30" w:line="240" w:lineRule="auto"/>
              <w:jc w:val="right"/>
            </w:pPr>
            <w:r>
              <w:rPr>
                <w:rFonts w:ascii="Times New Roman" w:eastAsia="Times New Roman" w:hAnsi="Times New Roman" w:cs="Times New Roman"/>
                <w:b w:val="0"/>
                <w:i w:val="0"/>
                <w:color w:val="000000"/>
                <w:sz w:val="20"/>
                <w:u w:val="none"/>
              </w:rPr>
              <w:tab/>
              <w:t>5</w:t>
              <w:tab/>
              <w:t>%</w:t>
            </w:r>
          </w:p>
        </w:tc>
      </w:tr>
      <w:tr>
        <w:tblPrEx>
          <w:tblW w:w="8415" w:type="dxa"/>
          <w:tblLayout w:type="fixed"/>
        </w:tblPrEx>
        <w:trPr>
          <w:trHeight w:hRule="exact" w:val="285"/>
        </w:trPr>
        <w:tc>
          <w:tcPr>
            <w:tcW w:w="520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Amortization of intangible assets</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12</w:t>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13</w:t>
              <w:tab/>
              <w:t>%</w:t>
            </w:r>
          </w:p>
        </w:tc>
      </w:tr>
      <w:tr>
        <w:tblPrEx>
          <w:tblW w:w="8415" w:type="dxa"/>
          <w:tblLayout w:type="fixed"/>
        </w:tblPrEx>
        <w:trPr>
          <w:trHeight w:hRule="exact" w:val="285"/>
        </w:trPr>
        <w:tc>
          <w:tcPr>
            <w:tcW w:w="52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Total operating expenses</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69</w:t>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77</w:t>
              <w:tab/>
              <w:t>%</w:t>
            </w:r>
          </w:p>
        </w:tc>
      </w:tr>
      <w:tr>
        <w:tblPrEx>
          <w:tblW w:w="8415" w:type="dxa"/>
          <w:tblLayout w:type="fixed"/>
        </w:tblPrEx>
        <w:trPr>
          <w:trHeight w:hRule="exact" w:val="285"/>
        </w:trPr>
        <w:tc>
          <w:tcPr>
            <w:tcW w:w="520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Interest income</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w:t>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169"/>
              </w:tabs>
              <w:spacing w:before="53" w:after="30" w:line="240" w:lineRule="auto"/>
              <w:jc w:val="right"/>
            </w:pPr>
            <w:r>
              <w:rPr>
                <w:rFonts w:ascii="Times New Roman" w:eastAsia="Times New Roman" w:hAnsi="Times New Roman" w:cs="Times New Roman"/>
                <w:b w:val="0"/>
                <w:i w:val="0"/>
                <w:color w:val="000000"/>
                <w:sz w:val="20"/>
                <w:u w:val="none"/>
              </w:rPr>
              <w:tab/>
              <w:t>1</w:t>
              <w:tab/>
              <w:t>%</w:t>
            </w:r>
          </w:p>
        </w:tc>
      </w:tr>
      <w:tr>
        <w:tblPrEx>
          <w:tblW w:w="8415" w:type="dxa"/>
          <w:tblLayout w:type="fixed"/>
        </w:tblPrEx>
        <w:trPr>
          <w:trHeight w:hRule="exact" w:val="285"/>
        </w:trPr>
        <w:tc>
          <w:tcPr>
            <w:tcW w:w="52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Interest expense</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36"/>
              </w:tabs>
              <w:spacing w:before="53" w:after="30" w:line="240" w:lineRule="auto"/>
              <w:jc w:val="right"/>
            </w:pPr>
            <w:r>
              <w:rPr>
                <w:rFonts w:ascii="Times New Roman" w:eastAsia="Times New Roman" w:hAnsi="Times New Roman" w:cs="Times New Roman"/>
                <w:b w:val="0"/>
                <w:i w:val="0"/>
                <w:color w:val="000000"/>
                <w:sz w:val="20"/>
                <w:u w:val="none"/>
              </w:rPr>
              <w:tab/>
              <w:t>(4)</w:t>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36"/>
              </w:tabs>
              <w:spacing w:before="53" w:after="30" w:line="240" w:lineRule="auto"/>
              <w:jc w:val="right"/>
            </w:pPr>
            <w:r>
              <w:rPr>
                <w:rFonts w:ascii="Times New Roman" w:eastAsia="Times New Roman" w:hAnsi="Times New Roman" w:cs="Times New Roman"/>
                <w:b w:val="0"/>
                <w:i w:val="0"/>
                <w:color w:val="000000"/>
                <w:sz w:val="20"/>
                <w:u w:val="none"/>
              </w:rPr>
              <w:tab/>
              <w:t>(3)</w:t>
              <w:tab/>
              <w:t>%</w:t>
            </w:r>
          </w:p>
        </w:tc>
      </w:tr>
      <w:tr>
        <w:tblPrEx>
          <w:tblW w:w="8415" w:type="dxa"/>
          <w:tblLayout w:type="fixed"/>
        </w:tblPrEx>
        <w:trPr>
          <w:trHeight w:hRule="exact" w:val="285"/>
        </w:trPr>
        <w:tc>
          <w:tcPr>
            <w:tcW w:w="520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Other income, net</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w:t>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w:t>
              <w:tab/>
              <w:t>%</w:t>
            </w:r>
          </w:p>
        </w:tc>
      </w:tr>
      <w:tr>
        <w:tblPrEx>
          <w:tblW w:w="8415" w:type="dxa"/>
          <w:tblLayout w:type="fixed"/>
        </w:tblPrEx>
        <w:trPr>
          <w:trHeight w:hRule="exact" w:val="285"/>
        </w:trPr>
        <w:tc>
          <w:tcPr>
            <w:tcW w:w="520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Loss from operations before income taxes</w:t>
            </w:r>
          </w:p>
        </w:tc>
        <w:tc>
          <w:tcPr>
            <w:tcW w:w="10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36"/>
              </w:tabs>
              <w:spacing w:before="53" w:after="30" w:line="240" w:lineRule="auto"/>
              <w:jc w:val="right"/>
            </w:pPr>
            <w:r>
              <w:rPr>
                <w:rFonts w:ascii="Times New Roman" w:eastAsia="Times New Roman" w:hAnsi="Times New Roman" w:cs="Times New Roman"/>
                <w:b w:val="0"/>
                <w:i w:val="0"/>
                <w:color w:val="000000"/>
                <w:sz w:val="20"/>
                <w:u w:val="none"/>
              </w:rPr>
              <w:tab/>
              <w:t>(4)</w:t>
              <w:tab/>
              <w:t>%</w:t>
            </w:r>
          </w:p>
        </w:tc>
        <w:tc>
          <w:tcPr>
            <w:tcW w:w="75"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515" w:type="dxa"/>
            <w:tcBorders>
              <w:top w:val="nil"/>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336"/>
              </w:tabs>
              <w:spacing w:before="53" w:after="30" w:line="240" w:lineRule="auto"/>
              <w:jc w:val="right"/>
            </w:pPr>
            <w:r>
              <w:rPr>
                <w:rFonts w:ascii="Times New Roman" w:eastAsia="Times New Roman" w:hAnsi="Times New Roman" w:cs="Times New Roman"/>
                <w:b w:val="0"/>
                <w:i w:val="0"/>
                <w:color w:val="000000"/>
                <w:sz w:val="20"/>
                <w:u w:val="none"/>
              </w:rPr>
              <w:tab/>
              <w:t>(12)</w:t>
              <w:tab/>
              <w:t>%</w:t>
            </w:r>
          </w:p>
        </w:tc>
      </w:tr>
      <w:tr>
        <w:tblPrEx>
          <w:tblW w:w="8415" w:type="dxa"/>
          <w:tblLayout w:type="fixed"/>
        </w:tblPrEx>
        <w:trPr>
          <w:trHeight w:hRule="exact" w:val="285"/>
        </w:trPr>
        <w:tc>
          <w:tcPr>
            <w:tcW w:w="5205" w:type="dxa"/>
            <w:tcBorders>
              <w:top w:val="nil"/>
              <w:left w:val="nil"/>
              <w:bottom w:val="nil"/>
              <w:right w:val="nil"/>
            </w:tcBorders>
            <w:shd w:val="clear" w:color="auto" w:fill="FFFFFF"/>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Net loss</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1"/>
                <w:tab w:val="left" w:pos="236"/>
              </w:tabs>
              <w:spacing w:before="53" w:after="30" w:line="240" w:lineRule="auto"/>
              <w:jc w:val="right"/>
            </w:pPr>
            <w:r>
              <w:rPr>
                <w:rFonts w:ascii="Times New Roman" w:eastAsia="Times New Roman" w:hAnsi="Times New Roman" w:cs="Times New Roman"/>
                <w:b w:val="0"/>
                <w:i w:val="0"/>
                <w:color w:val="000000"/>
                <w:sz w:val="20"/>
                <w:u w:val="none"/>
              </w:rPr>
              <w:tab/>
              <w:t>(4)</w:t>
              <w:tab/>
              <w:t>%</w:t>
            </w:r>
          </w:p>
        </w:tc>
        <w:tc>
          <w:tcPr>
            <w:tcW w:w="75" w:type="dxa"/>
            <w:tcBorders>
              <w:top w:val="nil"/>
              <w:left w:val="nil"/>
              <w:bottom w:val="nil"/>
              <w:right w:val="nil"/>
            </w:tcBorders>
            <w:shd w:val="clear" w:color="auto" w:fill="FFFFFF"/>
            <w:tcMar>
              <w:top w:w="0" w:type="dxa"/>
              <w:left w:w="0" w:type="dxa"/>
              <w:bottom w:w="0" w:type="dxa"/>
              <w:right w:w="0" w:type="dxa"/>
            </w:tcMar>
            <w:vAlign w:val="bottom"/>
          </w:tcPr>
          <w:p>
            <w:pPr>
              <w:pageBreakBefore w:val="0"/>
              <w:spacing w:before="0" w:after="0"/>
            </w:pPr>
          </w:p>
        </w:tc>
        <w:tc>
          <w:tcPr>
            <w:tcW w:w="1515" w:type="dxa"/>
            <w:tcBorders>
              <w:top w:val="nil"/>
              <w:left w:val="nil"/>
              <w:bottom w:val="nil"/>
              <w:right w:val="nil"/>
            </w:tcBorders>
            <w:shd w:val="clear" w:color="auto" w:fill="FFFFFF"/>
            <w:tcMar>
              <w:top w:w="0" w:type="dxa"/>
              <w:left w:w="0" w:type="dxa"/>
              <w:bottom w:w="0" w:type="dxa"/>
              <w:right w:w="15" w:type="dxa"/>
            </w:tcMar>
            <w:vAlign w:val="bottom"/>
          </w:tcPr>
          <w:p>
            <w:pPr>
              <w:pageBreakBefore w:val="0"/>
              <w:tabs>
                <w:tab w:val="left" w:pos="1"/>
                <w:tab w:val="left" w:pos="336"/>
              </w:tabs>
              <w:spacing w:before="53" w:after="30" w:line="240" w:lineRule="auto"/>
              <w:jc w:val="right"/>
            </w:pPr>
            <w:r>
              <w:rPr>
                <w:rFonts w:ascii="Times New Roman" w:eastAsia="Times New Roman" w:hAnsi="Times New Roman" w:cs="Times New Roman"/>
                <w:b w:val="0"/>
                <w:i w:val="0"/>
                <w:color w:val="000000"/>
                <w:sz w:val="20"/>
                <w:u w:val="none"/>
              </w:rPr>
              <w:tab/>
              <w:t>(14)</w:t>
              <w:tab/>
              <w:t>%</w:t>
            </w:r>
          </w:p>
        </w:tc>
      </w:tr>
    </w:tbl>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Revenue</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Revenue is comprised of recurring revenue, professional services, hardware, and other revenue. We expect our revenue to increase as we introduce new applications, expand our client base and renew and expand relationships with existing clients. As a percentage of total revenue, we expect our mix of recurring revenue, and professional services, hardware and other revenue to remain relatively constant. While revenue mix varies by product, recurring revenue represented over </w:t>
      </w:r>
      <w:r>
        <w:rPr>
          <w:rFonts w:ascii="Times New Roman" w:eastAsia="Times New Roman" w:hAnsi="Times New Roman" w:cs="Times New Roman"/>
          <w:b w:val="0"/>
          <w:i w:val="0"/>
          <w:color w:val="000000"/>
          <w:sz w:val="20"/>
          <w:u w:val="none"/>
        </w:rPr>
        <w:t>92%</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91%</w:t>
      </w:r>
      <w:r>
        <w:rPr>
          <w:rFonts w:ascii="Times New Roman" w:eastAsia="Times New Roman" w:hAnsi="Times New Roman" w:cs="Times New Roman"/>
          <w:b w:val="0"/>
          <w:i w:val="0"/>
          <w:sz w:val="20"/>
        </w:rPr>
        <w:t xml:space="preserve"> of total revenue in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sz w:val="20"/>
        </w:rPr>
        <w:t xml:space="preserv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respectively, compared to </w:t>
      </w:r>
      <w:r>
        <w:rPr>
          <w:rFonts w:ascii="Times New Roman" w:eastAsia="Times New Roman" w:hAnsi="Times New Roman" w:cs="Times New Roman"/>
          <w:b w:val="0"/>
          <w:i w:val="0"/>
          <w:color w:val="000000"/>
          <w:sz w:val="20"/>
          <w:u w:val="none"/>
        </w:rPr>
        <w:t>88%</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92%</w:t>
      </w:r>
      <w:r>
        <w:rPr>
          <w:rFonts w:ascii="Times New Roman" w:eastAsia="Times New Roman" w:hAnsi="Times New Roman" w:cs="Times New Roman"/>
          <w:b w:val="0"/>
          <w:i w:val="0"/>
          <w:sz w:val="20"/>
        </w:rPr>
        <w:t xml:space="preserve"> in the </w:t>
      </w:r>
      <w:r>
        <w:rPr>
          <w:rFonts w:ascii="Times New Roman" w:eastAsia="Times New Roman" w:hAnsi="Times New Roman" w:cs="Times New Roman"/>
          <w:b w:val="0"/>
          <w:i w:val="0"/>
          <w:color w:val="000000"/>
          <w:sz w:val="20"/>
          <w:u w:val="none"/>
        </w:rPr>
        <w:t>three and nine</w:t>
      </w:r>
      <w:r>
        <w:rPr>
          <w:rFonts w:ascii="Times New Roman" w:eastAsia="Times New Roman" w:hAnsi="Times New Roman" w:cs="Times New Roman"/>
          <w:b w:val="0"/>
          <w:i w:val="0"/>
          <w:sz w:val="20"/>
        </w:rPr>
        <w:t xml:space="preserve"> months ended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sz w:val="20"/>
        </w:rPr>
        <w:t xml:space="preserve">, respectively. The increase in recurring revenue as a percentage of total revenue for the three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was due to growth in our payroll direct business and lower non-recurring time and attendance hardware sales. The decrease for the nine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was due to higher non-recurring hardware sales, primarily resulting from the inclusion of a full period of results from the time and attendance business acquired in July 2025.</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 </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Our revenue was derived from the following sources (in thousands):</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tbl>
      <w:tblPr>
        <w:tblStyle w:val="TableNormal0"/>
        <w:tblW w:w="10245" w:type="dxa"/>
        <w:tblInd w:w="0" w:type="dxa"/>
        <w:tblLayout w:type="fixed"/>
      </w:tblPr>
      <w:tblGrid>
        <w:gridCol w:w="4845"/>
        <w:gridCol w:w="1305"/>
        <w:gridCol w:w="60"/>
        <w:gridCol w:w="1305"/>
        <w:gridCol w:w="60"/>
        <w:gridCol w:w="1305"/>
        <w:gridCol w:w="60"/>
        <w:gridCol w:w="1305"/>
      </w:tblGrid>
      <w:tr>
        <w:tblPrEx>
          <w:tblW w:w="10245" w:type="dxa"/>
          <w:tblInd w:w="0" w:type="dxa"/>
          <w:tblLayout w:type="fixed"/>
        </w:tblPrEx>
        <w:trPr>
          <w:trHeight w:hRule="exact" w:val="465"/>
        </w:trPr>
        <w:tc>
          <w:tcPr>
            <w:tcW w:w="48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670"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line="240" w:lineRule="auto"/>
              <w:jc w:val="center"/>
            </w:pPr>
            <w:r>
              <w:rPr>
                <w:rFonts w:ascii="Times New Roman" w:eastAsia="Times New Roman" w:hAnsi="Times New Roman" w:cs="Times New Roman"/>
                <w:b/>
                <w:i w:val="0"/>
                <w:color w:val="000000"/>
                <w:sz w:val="20"/>
                <w:u w:val="none"/>
              </w:rPr>
              <w:t>Three Months Ended</w:t>
            </w:r>
          </w:p>
          <w:p>
            <w:pPr>
              <w:spacing w:after="30" w:line="240" w:lineRule="auto"/>
              <w:jc w:val="center"/>
            </w:pPr>
            <w:r>
              <w:rPr>
                <w:rFonts w:ascii="Times New Roman" w:eastAsia="Times New Roman" w:hAnsi="Times New Roman" w:cs="Times New Roman"/>
                <w:b/>
                <w:i w:val="0"/>
                <w:color w:val="000000"/>
                <w:sz w:val="20"/>
                <w:u w:val="none"/>
              </w:rPr>
              <w:t>September 30,</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670"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Variance</w:t>
            </w:r>
          </w:p>
        </w:tc>
      </w:tr>
      <w:tr>
        <w:tblPrEx>
          <w:tblW w:w="10245" w:type="dxa"/>
          <w:tblInd w:w="0" w:type="dxa"/>
          <w:tblLayout w:type="fixed"/>
        </w:tblPrEx>
        <w:trPr>
          <w:trHeight w:hRule="exact" w:val="285"/>
        </w:trPr>
        <w:tc>
          <w:tcPr>
            <w:tcW w:w="484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60"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w:t>
            </w:r>
          </w:p>
        </w:tc>
        <w:tc>
          <w:tcPr>
            <w:tcW w:w="60"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w:t>
            </w:r>
          </w:p>
        </w:tc>
      </w:tr>
      <w:tr>
        <w:tblPrEx>
          <w:tblW w:w="10245" w:type="dxa"/>
          <w:tblInd w:w="0" w:type="dxa"/>
          <w:tblLayout w:type="fixed"/>
        </w:tblPrEx>
        <w:trPr>
          <w:trHeight w:hRule="exact" w:val="285"/>
        </w:trPr>
        <w:tc>
          <w:tcPr>
            <w:tcW w:w="484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Recurring</w:t>
            </w: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36,912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31,841</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7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5,071</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69"/>
              </w:tabs>
              <w:spacing w:before="33" w:after="30" w:line="240" w:lineRule="auto"/>
              <w:jc w:val="right"/>
            </w:pPr>
            <w:r>
              <w:rPr>
                <w:rFonts w:ascii="Times New Roman" w:eastAsia="Times New Roman" w:hAnsi="Times New Roman" w:cs="Times New Roman"/>
                <w:b w:val="0"/>
                <w:i w:val="0"/>
                <w:color w:val="000000"/>
                <w:sz w:val="20"/>
                <w:u w:val="none"/>
              </w:rPr>
              <w:tab/>
              <w:t>16</w:t>
              <w:tab/>
              <w:t>%</w:t>
            </w:r>
          </w:p>
        </w:tc>
      </w:tr>
      <w:tr>
        <w:tblPrEx>
          <w:tblW w:w="10245" w:type="dxa"/>
          <w:tblInd w:w="0" w:type="dxa"/>
          <w:tblLayout w:type="fixed"/>
        </w:tblPrEx>
        <w:trPr>
          <w:trHeight w:hRule="exact" w:val="285"/>
        </w:trPr>
        <w:tc>
          <w:tcPr>
            <w:tcW w:w="484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Professional services, hardware and other</w:t>
            </w:r>
          </w:p>
        </w:tc>
        <w:tc>
          <w:tcPr>
            <w:tcW w:w="1305" w:type="dxa"/>
            <w:tcBorders>
              <w:top w:val="nil"/>
              <w:left w:val="nil"/>
              <w:bottom w:val="single" w:sz="8" w:space="0" w:color="000000"/>
              <w:right w:val="nil"/>
            </w:tcBorders>
            <w:tcMar>
              <w:top w:w="0" w:type="dxa"/>
              <w:left w:w="0" w:type="dxa"/>
              <w:bottom w:w="0" w:type="dxa"/>
              <w:right w:w="15" w:type="dxa"/>
            </w:tcMar>
            <w:vAlign w:val="bottom"/>
          </w:tcPr>
          <w:p>
            <w:pPr>
              <w:keepNext/>
              <w:pageBreakBefore w:val="0"/>
              <w:tabs>
                <w:tab w:val="left" w:pos="722"/>
                <w:tab w:val="left" w:pos="1237"/>
              </w:tabs>
              <w:spacing w:before="53" w:after="30" w:line="240" w:lineRule="auto"/>
              <w:jc w:val="right"/>
            </w:pPr>
            <w:r>
              <w:rPr>
                <w:rFonts w:ascii="Times New Roman" w:eastAsia="Times New Roman" w:hAnsi="Times New Roman" w:cs="Times New Roman"/>
                <w:b w:val="0"/>
                <w:i w:val="0"/>
                <w:color w:val="000000"/>
                <w:sz w:val="20"/>
                <w:u w:val="none"/>
              </w:rPr>
              <w:tab/>
              <w:t>3,110</w:t>
              <w:tab/>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tcMar>
              <w:top w:w="0" w:type="dxa"/>
              <w:left w:w="0" w:type="dxa"/>
              <w:bottom w:w="0" w:type="dxa"/>
              <w:right w:w="15" w:type="dxa"/>
            </w:tcMar>
            <w:vAlign w:val="bottom"/>
          </w:tcPr>
          <w:p>
            <w:pPr>
              <w:keepNext/>
              <w:pageBreakBefore w:val="0"/>
              <w:tabs>
                <w:tab w:val="left" w:pos="722"/>
                <w:tab w:val="left" w:pos="1237"/>
              </w:tabs>
              <w:spacing w:before="53" w:after="30" w:line="240" w:lineRule="auto"/>
              <w:jc w:val="right"/>
            </w:pPr>
            <w:r>
              <w:rPr>
                <w:rFonts w:ascii="Times New Roman" w:eastAsia="Times New Roman" w:hAnsi="Times New Roman" w:cs="Times New Roman"/>
                <w:b w:val="0"/>
                <w:i w:val="0"/>
                <w:color w:val="000000"/>
                <w:sz w:val="20"/>
                <w:u w:val="none"/>
              </w:rPr>
              <w:tab/>
              <w:t>4,411</w:t>
              <w:tab/>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tcMar>
              <w:top w:w="0" w:type="dxa"/>
              <w:left w:w="0" w:type="dxa"/>
              <w:bottom w:w="0" w:type="dxa"/>
              <w:right w:w="15" w:type="dxa"/>
            </w:tcMar>
            <w:vAlign w:val="bottom"/>
          </w:tcPr>
          <w:p>
            <w:pPr>
              <w:keepNext/>
              <w:pageBreakBefore w:val="0"/>
              <w:tabs>
                <w:tab w:val="left" w:pos="636"/>
              </w:tabs>
              <w:spacing w:before="53" w:after="30" w:line="240" w:lineRule="auto"/>
              <w:jc w:val="right"/>
            </w:pPr>
            <w:r>
              <w:rPr>
                <w:rFonts w:ascii="Times New Roman" w:eastAsia="Times New Roman" w:hAnsi="Times New Roman" w:cs="Times New Roman"/>
                <w:b w:val="0"/>
                <w:i w:val="0"/>
                <w:color w:val="000000"/>
                <w:sz w:val="20"/>
                <w:u w:val="none"/>
              </w:rPr>
              <w:tab/>
              <w:t>(1,301)</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tcMar>
              <w:top w:w="0" w:type="dxa"/>
              <w:left w:w="0" w:type="dxa"/>
              <w:bottom w:w="0" w:type="dxa"/>
              <w:right w:w="15" w:type="dxa"/>
            </w:tcMar>
            <w:vAlign w:val="bottom"/>
          </w:tcPr>
          <w:p>
            <w:pPr>
              <w:keepNext/>
              <w:pageBreakBefore w:val="0"/>
              <w:tabs>
                <w:tab w:val="left" w:pos="1"/>
                <w:tab w:val="left" w:pos="336"/>
              </w:tabs>
              <w:spacing w:before="53" w:after="30" w:line="240" w:lineRule="auto"/>
              <w:jc w:val="right"/>
            </w:pPr>
            <w:r>
              <w:rPr>
                <w:rFonts w:ascii="Times New Roman" w:eastAsia="Times New Roman" w:hAnsi="Times New Roman" w:cs="Times New Roman"/>
                <w:b w:val="0"/>
                <w:i w:val="0"/>
                <w:color w:val="000000"/>
                <w:sz w:val="20"/>
                <w:u w:val="none"/>
              </w:rPr>
              <w:tab/>
              <w:t>(29)</w:t>
              <w:tab/>
              <w:t>%</w:t>
            </w:r>
          </w:p>
        </w:tc>
      </w:tr>
      <w:tr>
        <w:tblPrEx>
          <w:tblW w:w="10245" w:type="dxa"/>
          <w:tblInd w:w="0" w:type="dxa"/>
          <w:tblLayout w:type="fixed"/>
        </w:tblPrEx>
        <w:trPr>
          <w:trHeight w:hRule="exact" w:val="285"/>
        </w:trPr>
        <w:tc>
          <w:tcPr>
            <w:tcW w:w="484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40,022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36,252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7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3,770</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
                <w:tab w:val="left" w:pos="269"/>
              </w:tabs>
              <w:spacing w:before="33" w:after="30" w:line="240" w:lineRule="auto"/>
              <w:jc w:val="right"/>
            </w:pPr>
            <w:r>
              <w:rPr>
                <w:rFonts w:ascii="Times New Roman" w:eastAsia="Times New Roman" w:hAnsi="Times New Roman" w:cs="Times New Roman"/>
                <w:b w:val="0"/>
                <w:i w:val="0"/>
                <w:color w:val="000000"/>
                <w:sz w:val="20"/>
                <w:u w:val="none"/>
              </w:rPr>
              <w:tab/>
              <w:t>10</w:t>
              <w:tab/>
              <w:t>%</w:t>
            </w:r>
          </w:p>
        </w:tc>
      </w:tr>
    </w:tbl>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tbl>
      <w:tblPr>
        <w:tblStyle w:val="TableNormal0"/>
        <w:tblW w:w="10245" w:type="dxa"/>
        <w:jc w:val="left"/>
        <w:tblInd w:w="0" w:type="dxa"/>
        <w:tblLayout w:type="fixed"/>
      </w:tblPr>
      <w:tblGrid>
        <w:gridCol w:w="4845"/>
        <w:gridCol w:w="1305"/>
        <w:gridCol w:w="60"/>
        <w:gridCol w:w="1305"/>
        <w:gridCol w:w="60"/>
        <w:gridCol w:w="1305"/>
        <w:gridCol w:w="60"/>
        <w:gridCol w:w="1305"/>
      </w:tblGrid>
      <w:tr>
        <w:tblPrEx>
          <w:tblW w:w="10245" w:type="dxa"/>
          <w:tblInd w:w="0" w:type="dxa"/>
          <w:tblLayout w:type="fixed"/>
        </w:tblPrEx>
        <w:trPr>
          <w:trHeight w:hRule="exact" w:val="465"/>
        </w:trPr>
        <w:tc>
          <w:tcPr>
            <w:tcW w:w="484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2670"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line="240" w:lineRule="auto"/>
              <w:jc w:val="center"/>
            </w:pPr>
            <w:r>
              <w:rPr>
                <w:rFonts w:ascii="Times New Roman" w:eastAsia="Times New Roman" w:hAnsi="Times New Roman" w:cs="Times New Roman"/>
                <w:b/>
                <w:i w:val="0"/>
                <w:color w:val="000000"/>
                <w:sz w:val="20"/>
                <w:u w:val="none"/>
              </w:rPr>
              <w:t>Nine Months Ended</w:t>
            </w:r>
          </w:p>
          <w:p>
            <w:pPr>
              <w:spacing w:after="30" w:line="240" w:lineRule="auto"/>
              <w:jc w:val="center"/>
            </w:pPr>
            <w:r>
              <w:rPr>
                <w:rFonts w:ascii="Times New Roman" w:eastAsia="Times New Roman" w:hAnsi="Times New Roman" w:cs="Times New Roman"/>
                <w:b/>
                <w:i w:val="0"/>
                <w:color w:val="000000"/>
                <w:sz w:val="20"/>
                <w:u w:val="none"/>
              </w:rPr>
              <w:t>September 30,</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670" w:type="dxa"/>
            <w:gridSpan w:val="3"/>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Variance</w:t>
            </w:r>
          </w:p>
        </w:tc>
      </w:tr>
      <w:tr>
        <w:tblPrEx>
          <w:tblW w:w="10245" w:type="dxa"/>
          <w:tblInd w:w="0" w:type="dxa"/>
          <w:tblLayout w:type="fixed"/>
        </w:tblPrEx>
        <w:trPr>
          <w:trHeight w:hRule="exact" w:val="285"/>
        </w:trPr>
        <w:tc>
          <w:tcPr>
            <w:tcW w:w="4845" w:type="dxa"/>
            <w:tcBorders>
              <w:top w:val="nil"/>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13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2026</w:t>
            </w:r>
          </w:p>
        </w:tc>
        <w:tc>
          <w:tcPr>
            <w:tcW w:w="60"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2025</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w:t>
            </w:r>
          </w:p>
        </w:tc>
        <w:tc>
          <w:tcPr>
            <w:tcW w:w="60" w:type="dxa"/>
            <w:tcBorders>
              <w:top w:val="single" w:sz="8" w:space="0" w:color="000000"/>
              <w:left w:val="nil"/>
              <w:bottom w:val="nil"/>
              <w:right w:val="nil"/>
            </w:tcBorders>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pPr>
              <w:keepNext/>
              <w:pageBreakBefore w:val="0"/>
              <w:spacing w:before="33" w:after="30" w:line="240" w:lineRule="auto"/>
              <w:jc w:val="center"/>
            </w:pPr>
            <w:r>
              <w:rPr>
                <w:rFonts w:ascii="Times New Roman" w:eastAsia="Times New Roman" w:hAnsi="Times New Roman" w:cs="Times New Roman"/>
                <w:b/>
                <w:i w:val="0"/>
                <w:color w:val="000000"/>
                <w:sz w:val="20"/>
                <w:u w:val="none"/>
              </w:rPr>
              <w:t>%</w:t>
            </w:r>
          </w:p>
        </w:tc>
      </w:tr>
      <w:tr>
        <w:tblPrEx>
          <w:tblW w:w="10245" w:type="dxa"/>
          <w:tblInd w:w="0" w:type="dxa"/>
          <w:tblLayout w:type="fixed"/>
        </w:tblPrEx>
        <w:trPr>
          <w:trHeight w:hRule="exact" w:val="285"/>
        </w:trPr>
        <w:tc>
          <w:tcPr>
            <w:tcW w:w="4845" w:type="dxa"/>
            <w:tcBorders>
              <w:top w:val="nil"/>
              <w:left w:val="nil"/>
              <w:bottom w:val="nil"/>
              <w:right w:val="nil"/>
            </w:tcBorders>
            <w:shd w:val="clear" w:color="auto" w:fill="CCEEFF"/>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Recurring</w:t>
            </w: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5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108,627</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93,624</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15,003</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keepNext/>
              <w:pageBreakBefore w:val="0"/>
              <w:spacing w:before="0" w:after="0"/>
            </w:pPr>
          </w:p>
        </w:tc>
        <w:tc>
          <w:tcPr>
            <w:tcW w:w="130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keepNext/>
              <w:pageBreakBefore w:val="0"/>
              <w:tabs>
                <w:tab w:val="left" w:pos="1"/>
                <w:tab w:val="left" w:pos="269"/>
              </w:tabs>
              <w:spacing w:before="33" w:after="30" w:line="240" w:lineRule="auto"/>
              <w:jc w:val="right"/>
            </w:pPr>
            <w:r>
              <w:rPr>
                <w:rFonts w:ascii="Times New Roman" w:eastAsia="Times New Roman" w:hAnsi="Times New Roman" w:cs="Times New Roman"/>
                <w:b w:val="0"/>
                <w:i w:val="0"/>
                <w:color w:val="000000"/>
                <w:sz w:val="20"/>
                <w:u w:val="none"/>
              </w:rPr>
              <w:tab/>
              <w:t>16</w:t>
              <w:tab/>
              <w:t>%</w:t>
            </w:r>
          </w:p>
        </w:tc>
      </w:tr>
      <w:tr>
        <w:tblPrEx>
          <w:tblW w:w="10245" w:type="dxa"/>
          <w:tblInd w:w="0" w:type="dxa"/>
          <w:tblLayout w:type="fixed"/>
        </w:tblPrEx>
        <w:trPr>
          <w:trHeight w:hRule="exact" w:val="285"/>
        </w:trPr>
        <w:tc>
          <w:tcPr>
            <w:tcW w:w="4845" w:type="dxa"/>
            <w:tcBorders>
              <w:top w:val="nil"/>
              <w:left w:val="nil"/>
              <w:bottom w:val="nil"/>
              <w:right w:val="nil"/>
            </w:tcBorders>
            <w:shd w:val="clear" w:color="auto" w:fill="FFFFFF"/>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Professional services, hardware and other</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622"/>
                <w:tab w:val="left" w:pos="1237"/>
              </w:tabs>
              <w:spacing w:before="53" w:after="30" w:line="240" w:lineRule="auto"/>
              <w:jc w:val="right"/>
            </w:pPr>
            <w:r>
              <w:rPr>
                <w:rFonts w:ascii="Times New Roman" w:eastAsia="Times New Roman" w:hAnsi="Times New Roman" w:cs="Times New Roman"/>
                <w:b w:val="0"/>
                <w:i w:val="0"/>
                <w:color w:val="000000"/>
                <w:sz w:val="20"/>
                <w:u w:val="none"/>
              </w:rPr>
              <w:tab/>
              <w:t>11,265</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22"/>
                <w:tab w:val="left" w:pos="1237"/>
              </w:tabs>
              <w:spacing w:before="53" w:after="30" w:line="240" w:lineRule="auto"/>
              <w:jc w:val="right"/>
            </w:pPr>
            <w:r>
              <w:rPr>
                <w:rFonts w:ascii="Times New Roman" w:eastAsia="Times New Roman" w:hAnsi="Times New Roman" w:cs="Times New Roman"/>
                <w:b w:val="0"/>
                <w:i w:val="0"/>
                <w:color w:val="000000"/>
                <w:sz w:val="20"/>
                <w:u w:val="none"/>
              </w:rPr>
              <w:tab/>
              <w:t>7,606</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722"/>
                <w:tab w:val="left" w:pos="1237"/>
              </w:tabs>
              <w:spacing w:before="53" w:after="30" w:line="240" w:lineRule="auto"/>
              <w:jc w:val="right"/>
            </w:pPr>
            <w:r>
              <w:rPr>
                <w:rFonts w:ascii="Times New Roman" w:eastAsia="Times New Roman" w:hAnsi="Times New Roman" w:cs="Times New Roman"/>
                <w:b w:val="0"/>
                <w:i w:val="0"/>
                <w:color w:val="000000"/>
                <w:sz w:val="20"/>
                <w:u w:val="none"/>
              </w:rPr>
              <w:tab/>
              <w:t>3,659</w:t>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pPr>
              <w:keepNext/>
              <w:pageBreakBefore w:val="0"/>
              <w:spacing w:before="0" w:after="0"/>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pPr>
              <w:keepNext/>
              <w:pageBreakBefore w:val="0"/>
              <w:tabs>
                <w:tab w:val="left" w:pos="1"/>
                <w:tab w:val="left" w:pos="269"/>
              </w:tabs>
              <w:spacing w:before="53" w:after="30" w:line="240" w:lineRule="auto"/>
              <w:jc w:val="right"/>
            </w:pPr>
            <w:r>
              <w:rPr>
                <w:rFonts w:ascii="Times New Roman" w:eastAsia="Times New Roman" w:hAnsi="Times New Roman" w:cs="Times New Roman"/>
                <w:b w:val="0"/>
                <w:i w:val="0"/>
                <w:color w:val="000000"/>
                <w:sz w:val="20"/>
                <w:u w:val="none"/>
              </w:rPr>
              <w:tab/>
              <w:t>48</w:t>
              <w:tab/>
              <w:t>%</w:t>
            </w:r>
          </w:p>
        </w:tc>
      </w:tr>
      <w:tr>
        <w:tblPrEx>
          <w:tblW w:w="10245" w:type="dxa"/>
          <w:tblInd w:w="0" w:type="dxa"/>
          <w:tblLayout w:type="fixed"/>
        </w:tblPrEx>
        <w:trPr>
          <w:trHeight w:hRule="exact" w:val="285"/>
        </w:trPr>
        <w:tc>
          <w:tcPr>
            <w:tcW w:w="484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spacing w:before="33" w:after="30" w:line="240" w:lineRule="auto"/>
              <w:jc w:val="left"/>
            </w:pPr>
            <w:r>
              <w:rPr>
                <w:rFonts w:ascii="Times New Roman" w:eastAsia="Times New Roman" w:hAnsi="Times New Roman" w:cs="Times New Roman"/>
                <w:b w:val="0"/>
                <w:i w:val="0"/>
                <w:color w:val="000000"/>
                <w:sz w:val="20"/>
                <w:u w:val="none"/>
              </w:rPr>
              <w:t>Total</w:t>
            </w: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5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119,892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5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101,230</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622"/>
                <w:tab w:val="left" w:pos="1237"/>
              </w:tabs>
              <w:spacing w:before="33" w:after="30" w:line="240" w:lineRule="auto"/>
              <w:jc w:val="right"/>
            </w:pPr>
            <w:r>
              <w:rPr>
                <w:rFonts w:ascii="Times New Roman" w:eastAsia="Times New Roman" w:hAnsi="Times New Roman" w:cs="Times New Roman"/>
                <w:b w:val="0"/>
                <w:i w:val="0"/>
                <w:color w:val="000000"/>
                <w:sz w:val="20"/>
                <w:u w:val="none"/>
              </w:rPr>
              <w:t>$</w:t>
              <w:tab/>
              <w:t>18,662</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1305" w:type="dxa"/>
            <w:tcBorders>
              <w:top w:val="single" w:sz="8" w:space="0" w:color="000000"/>
              <w:left w:val="nil"/>
              <w:bottom w:val="double" w:sz="8" w:space="0" w:color="000000"/>
              <w:right w:val="nil"/>
            </w:tcBorders>
            <w:shd w:val="clear" w:color="auto" w:fill="CCEEFF"/>
            <w:tcMar>
              <w:top w:w="0" w:type="dxa"/>
              <w:left w:w="0" w:type="dxa"/>
              <w:bottom w:w="0" w:type="dxa"/>
              <w:right w:w="15" w:type="dxa"/>
            </w:tcMar>
            <w:vAlign w:val="bottom"/>
          </w:tcPr>
          <w:p>
            <w:pPr>
              <w:pageBreakBefore w:val="0"/>
              <w:tabs>
                <w:tab w:val="left" w:pos="1"/>
                <w:tab w:val="left" w:pos="269"/>
              </w:tabs>
              <w:spacing w:before="33" w:after="30" w:line="240" w:lineRule="auto"/>
              <w:jc w:val="right"/>
            </w:pPr>
            <w:r>
              <w:rPr>
                <w:rFonts w:ascii="Times New Roman" w:eastAsia="Times New Roman" w:hAnsi="Times New Roman" w:cs="Times New Roman"/>
                <w:b w:val="0"/>
                <w:i w:val="0"/>
                <w:color w:val="000000"/>
                <w:sz w:val="20"/>
                <w:u w:val="none"/>
              </w:rPr>
              <w:tab/>
              <w:t>18</w:t>
              <w:tab/>
              <w:t>%</w:t>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color w:val="000000"/>
          <w:sz w:val="20"/>
          <w:u w:val="none"/>
        </w:rPr>
      </w:pPr>
    </w:p>
    <w:p>
      <w:pPr>
        <w:keepNext w:val="0"/>
        <w:keepLines/>
        <w:pageBreakBefore w:val="0"/>
        <w:widowControl w:val="0"/>
        <w:numPr>
          <w:ilvl w:val="0"/>
          <w:numId w:val="0"/>
        </w:numPr>
        <w:spacing w:before="0" w:after="0" w:line="288" w:lineRule="auto"/>
        <w:ind w:left="0" w:right="0" w:firstLine="720"/>
        <w:jc w:val="left"/>
        <w:outlineLvl w:val="9"/>
        <w:rPr>
          <w:rFonts w:ascii="Times New Roman" w:eastAsia="Times New Roman" w:hAnsi="Times New Roman" w:cs="Times New Roman"/>
          <w:b w:val="0"/>
          <w:i/>
          <w:color w:val="000000"/>
          <w:sz w:val="20"/>
          <w:highlight w:val="white"/>
          <w:u w:val="none"/>
        </w:rPr>
      </w:pPr>
    </w:p>
    <w:p>
      <w:pPr>
        <w:keepNext w:val="0"/>
        <w:keepLines/>
        <w:pageBreakBefore/>
        <w:widowControl w:val="0"/>
        <w:numPr>
          <w:ilvl w:val="0"/>
          <w:numId w:val="0"/>
        </w:numPr>
        <w:spacing w:before="0" w:after="0" w:line="288" w:lineRule="auto"/>
        <w:ind w:left="0" w:right="0" w:firstLine="720"/>
        <w:jc w:val="left"/>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color w:val="000000"/>
          <w:sz w:val="20"/>
          <w:highlight w:val="white"/>
          <w:u w:val="none"/>
        </w:rPr>
        <w:t>Recurring Revenue</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color w:val="000000"/>
          <w:sz w:val="20"/>
          <w:highlight w:val="white"/>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highlight w:val="white"/>
          <w:u w:val="none"/>
        </w:rPr>
      </w:pPr>
      <w:r>
        <w:rPr>
          <w:rFonts w:ascii="Times New Roman" w:eastAsia="Times New Roman" w:hAnsi="Times New Roman" w:cs="Times New Roman"/>
          <w:b w:val="0"/>
          <w:i w:val="0"/>
          <w:sz w:val="20"/>
        </w:rPr>
        <w:t>Recurring revenues include fees for our payroll and tax management, recruiting services, HR compliance, time and labor management, insurance and benefits administration, AsureMarketplace™ and other Asure solutions as well as fees charged for form filings and delivery of client payroll checks and reports. These revenues are derived from fixed amounts charged per billing period and sometimes an additional fee per employee or transaction processed. We do not require clients to enter into long-term contractual commitments for our services. Our billing period varies by client based on when each client pays its employees, which may be weekly, bi-weekly, semi-monthly or monthly. We also generate recurring revenues from our Reseller Partners that license our solutions. Because recurring revenues are based, in part, on fees for use of our applications and the delivery of checks and reports that are levied on a per-employee basis, our recurring revenues increase as our clients hire more employees. Recurring revenues are recognized in the period services are rendered.</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Recurring revenues include revenues relating to the annual processing of payroll forms, such as Form W-2 and Form 1099, and revenues from processing unscheduled payroll runs (such as bonuses) for our clients. Because payroll forms are typically processed in the first quarter of the year and many of our clients are subject to form filing requirements mandated by the Affordable Care Act (“ACA”), first quarter revenues and margins are generally higher than in subsequent quarters. We anticipate our revenues will continue to exhibit this seasonal pattern related to ACA form filings for so long as the ACA (or replacement legislation) includes employer reporting requirements. In addition, we often experience increased revenues during the fourth quarter due to unscheduled payroll runs for our clients that occur before the end of the year. We expect the seasonality of our revenue cycle to decrease to the extent clients utilize more of our non-payroll applications.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This revenue line also includes interest earned on funds held for clients. Interest earned is generated from funds we collect from clients in advance of either the applicable due date for payroll tax submissions or the applicable disbursement date for employee payment services. These collections from clients are typically disbursed from one to 30 days after receipt, with some funds being held for up to 120 days. We typically invest funds held for clients in money market funds, demand deposit accounts, commercial paper, fixed income securities and certificates of deposit until they are paid to the applicable tax or regulatory agencies or to client employees. The amount of interest we earn from the investment of client funds is also impacted by changes in interest rates.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yellow"/>
          <w:u w:val="none"/>
        </w:rPr>
      </w:pPr>
      <w:r>
        <w:rPr>
          <w:rFonts w:ascii="Times New Roman" w:eastAsia="Times New Roman" w:hAnsi="Times New Roman" w:cs="Times New Roman"/>
          <w:b w:val="0"/>
          <w:i w:val="0"/>
          <w:sz w:val="20"/>
        </w:rPr>
        <w:t xml:space="preserve">Recurring revenue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$36,912</w:t>
      </w:r>
      <w:r>
        <w:rPr>
          <w:rFonts w:ascii="Times New Roman" w:eastAsia="Times New Roman" w:hAnsi="Times New Roman" w:cs="Times New Roman"/>
          <w:b w:val="0"/>
          <w:i w:val="0"/>
          <w:color w:val="000000"/>
          <w:sz w:val="20"/>
          <w:u w:val="none"/>
        </w:rPr>
        <w:t>, an increase of $5,071, or 16%, from $31,841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due to an increase in payroll solutions.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Recurring revenue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$108,627</w:t>
      </w:r>
      <w:r>
        <w:rPr>
          <w:rFonts w:ascii="Times New Roman" w:eastAsia="Times New Roman" w:hAnsi="Times New Roman" w:cs="Times New Roman"/>
          <w:b w:val="0"/>
          <w:i w:val="0"/>
          <w:color w:val="000000"/>
          <w:sz w:val="20"/>
          <w:u w:val="none"/>
        </w:rPr>
        <w:t>, an increase of $15,003, or 16%, from $93,624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due to an increase in HR compliance, payroll solutions, and time and attendance solutions.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u w:val="none"/>
        </w:rPr>
      </w:pPr>
      <w:r>
        <w:rPr>
          <w:rFonts w:ascii="Times New Roman" w:eastAsia="Times New Roman" w:hAnsi="Times New Roman" w:cs="Times New Roman"/>
          <w:b w:val="0"/>
          <w:i/>
          <w:sz w:val="20"/>
        </w:rPr>
        <w:t>Professional Services, Hardware and Other Revenue</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Professional services, hardware and other revenues represents implementation fees, one-time consulting projects, on-premise maintenance, hardware devices to enhance our software products.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Professional services, hardware and other revenue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$3,110</w:t>
      </w:r>
      <w:r>
        <w:rPr>
          <w:rFonts w:ascii="Times New Roman" w:eastAsia="Times New Roman" w:hAnsi="Times New Roman" w:cs="Times New Roman"/>
          <w:b w:val="0"/>
          <w:i w:val="0"/>
          <w:color w:val="000000"/>
          <w:sz w:val="20"/>
          <w:u w:val="none"/>
        </w:rPr>
        <w:t>, a decrease of $1,301, or 29%, from $4,411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This </w:t>
      </w:r>
      <w:r>
        <w:rPr>
          <w:rFonts w:ascii="Times New Roman" w:eastAsia="Times New Roman" w:hAnsi="Times New Roman" w:cs="Times New Roman"/>
          <w:b w:val="0"/>
          <w:i w:val="0"/>
          <w:color w:val="000000"/>
          <w:sz w:val="20"/>
          <w:u w:val="none"/>
        </w:rPr>
        <w:t>decrease</w:t>
      </w:r>
      <w:r>
        <w:rPr>
          <w:rFonts w:ascii="Times New Roman" w:eastAsia="Times New Roman" w:hAnsi="Times New Roman" w:cs="Times New Roman"/>
          <w:b w:val="0"/>
          <w:i w:val="0"/>
          <w:sz w:val="20"/>
        </w:rPr>
        <w:t xml:space="preserve"> is primarily due to a decrease in hardware related to our time and attendance solutions, which is non-recurring in nature.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Professional services, hardware, and other revenue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$11,265</w:t>
      </w:r>
      <w:r>
        <w:rPr>
          <w:rFonts w:ascii="Times New Roman" w:eastAsia="Times New Roman" w:hAnsi="Times New Roman" w:cs="Times New Roman"/>
          <w:b w:val="0"/>
          <w:i w:val="0"/>
          <w:color w:val="000000"/>
          <w:sz w:val="20"/>
          <w:u w:val="none"/>
        </w:rPr>
        <w:t>, an increase of $3,659, or 48%, from $7,606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due to an increase in non-recurring hardware sales, primarily resulting from the inclusion of a full period of results from the time and attendance business acquired in July 2025.</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Our total customer base is widely spread across industries and sizes. Geographically, we sell our products primarily in the United States.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In addition to continuing to develop our workforce solutions and release of new software updates and enhancements, we continue to actively explore other opportunities to acquire additional products or technologies to complement our current software and services.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Gross Profit and Gross Margin</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Consolidated gross profit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$27,844</w:t>
      </w:r>
      <w:r>
        <w:rPr>
          <w:rFonts w:ascii="Times New Roman" w:eastAsia="Times New Roman" w:hAnsi="Times New Roman" w:cs="Times New Roman"/>
          <w:b w:val="0"/>
          <w:i w:val="0"/>
          <w:color w:val="000000"/>
          <w:sz w:val="20"/>
          <w:u w:val="none"/>
        </w:rPr>
        <w:t>, an increase of $4,306, or 18%, from $23,538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Gross profit as a percentage of revenue </w:t>
      </w:r>
      <w:r>
        <w:rPr>
          <w:rFonts w:ascii="Times New Roman" w:eastAsia="Times New Roman" w:hAnsi="Times New Roman" w:cs="Times New Roman"/>
          <w:b w:val="0"/>
          <w:i w:val="0"/>
          <w:color w:val="000000"/>
          <w:sz w:val="20"/>
          <w:u w:val="none"/>
        </w:rPr>
        <w:t>increased to 70%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65%</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The increase is primarily attributable to the growth in our payroll solutions, which are higher margin in comparison to our other offerings.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Consolidated gross profit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$83,369</w:t>
      </w:r>
      <w:r>
        <w:rPr>
          <w:rFonts w:ascii="Times New Roman" w:eastAsia="Times New Roman" w:hAnsi="Times New Roman" w:cs="Times New Roman"/>
          <w:b w:val="0"/>
          <w:i w:val="0"/>
          <w:color w:val="000000"/>
          <w:sz w:val="20"/>
          <w:u w:val="none"/>
        </w:rPr>
        <w:t>, an increase of $15,197, or 22%, from $68,172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Gross profit as a percentage of revenue </w:t>
      </w:r>
      <w:r>
        <w:rPr>
          <w:rFonts w:ascii="Times New Roman" w:eastAsia="Times New Roman" w:hAnsi="Times New Roman" w:cs="Times New Roman"/>
          <w:b w:val="0"/>
          <w:i w:val="0"/>
          <w:color w:val="000000"/>
          <w:sz w:val="20"/>
          <w:u w:val="none"/>
        </w:rPr>
        <w:t>increased to 70%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67%</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The increase is primarily attributable to the growth in our HR compliance, payroll solutions, and time and attendance solutions, which is higher margin in comparison to our other offerings.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Our cost of sales relates primarily to direct product costs, compensation for operations and related consulting expenses, hardware expenses, facilities, and related expenses and the amortization of our purchased software development costs. We include intangible amortization related to developed and acquired technology within cost of sales.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Sales and Marketing Expenses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Sales and marketing expenses primarily consist of salaries and related expenses for sales and marketing staff, including share-based expenses, commissions, as well as marketing programs, which include events, corporate communications and product marketing activities.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Sales and marketing expenses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were </w:t>
      </w:r>
      <w:r>
        <w:rPr>
          <w:rFonts w:ascii="Times New Roman" w:eastAsia="Times New Roman" w:hAnsi="Times New Roman" w:cs="Times New Roman"/>
          <w:b w:val="0"/>
          <w:i w:val="0"/>
          <w:color w:val="000000"/>
          <w:sz w:val="20"/>
          <w:u w:val="none"/>
        </w:rPr>
        <w:t>$8,925</w:t>
      </w:r>
      <w:r>
        <w:rPr>
          <w:rFonts w:ascii="Times New Roman" w:eastAsia="Times New Roman" w:hAnsi="Times New Roman" w:cs="Times New Roman"/>
          <w:b w:val="0"/>
          <w:i w:val="0"/>
          <w:color w:val="000000"/>
          <w:sz w:val="20"/>
          <w:u w:val="none"/>
        </w:rPr>
        <w:t>, a decrease of $118, or 1%, from $9,043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decrease</w:t>
      </w:r>
      <w:r>
        <w:rPr>
          <w:rFonts w:ascii="Times New Roman" w:eastAsia="Times New Roman" w:hAnsi="Times New Roman" w:cs="Times New Roman"/>
          <w:b w:val="0"/>
          <w:i w:val="0"/>
          <w:sz w:val="20"/>
        </w:rPr>
        <w:t xml:space="preserve"> is primarily due to a decrease in bad debt. Sales and marketing expenses as a percentage of revenue </w:t>
      </w:r>
      <w:r>
        <w:rPr>
          <w:rFonts w:ascii="Times New Roman" w:eastAsia="Times New Roman" w:hAnsi="Times New Roman" w:cs="Times New Roman"/>
          <w:b w:val="0"/>
          <w:i w:val="0"/>
          <w:color w:val="000000"/>
          <w:sz w:val="20"/>
          <w:u w:val="none"/>
        </w:rPr>
        <w:t>decreased to 22%</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25%</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Sales and marketing expenses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were </w:t>
      </w:r>
      <w:r>
        <w:rPr>
          <w:rFonts w:ascii="Times New Roman" w:eastAsia="Times New Roman" w:hAnsi="Times New Roman" w:cs="Times New Roman"/>
          <w:b w:val="0"/>
          <w:i w:val="0"/>
          <w:color w:val="000000"/>
          <w:sz w:val="20"/>
          <w:u w:val="none"/>
        </w:rPr>
        <w:t>$26,787</w:t>
      </w:r>
      <w:r>
        <w:rPr>
          <w:rFonts w:ascii="Times New Roman" w:eastAsia="Times New Roman" w:hAnsi="Times New Roman" w:cs="Times New Roman"/>
          <w:b w:val="0"/>
          <w:i w:val="0"/>
          <w:color w:val="000000"/>
          <w:sz w:val="20"/>
          <w:u w:val="none"/>
        </w:rPr>
        <w:t>, an increase of $1,209, or 5%, from $25,578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due to an increase in advertising. Sales and marketing expenses as a percentage of revenue </w:t>
      </w:r>
      <w:r>
        <w:rPr>
          <w:rFonts w:ascii="Times New Roman" w:eastAsia="Times New Roman" w:hAnsi="Times New Roman" w:cs="Times New Roman"/>
          <w:b w:val="0"/>
          <w:i w:val="0"/>
          <w:color w:val="000000"/>
          <w:sz w:val="20"/>
          <w:u w:val="none"/>
        </w:rPr>
        <w:t>decreased to 22%</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25%</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We expect to continue to expand and increase selling costs as we focus on hiring direct sales personnel, expanding recognition of our brand, and lead generation.</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General and Administrative Expenses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General and administrative expenses primarily consist of salaries and related expenses, including share-based expenses for finance and accounting, legal, internal audit, human resources and management information systems personnel, legal costs, professional fees, and other corporate expenses such as transaction costs for acquisitions.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General and administrative expenses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were </w:t>
      </w:r>
      <w:r>
        <w:rPr>
          <w:rFonts w:ascii="Times New Roman" w:eastAsia="Times New Roman" w:hAnsi="Times New Roman" w:cs="Times New Roman"/>
          <w:b w:val="0"/>
          <w:i w:val="0"/>
          <w:color w:val="000000"/>
          <w:sz w:val="20"/>
          <w:u w:val="none"/>
        </w:rPr>
        <w:t>$12,540</w:t>
      </w:r>
      <w:r>
        <w:rPr>
          <w:rFonts w:ascii="Times New Roman" w:eastAsia="Times New Roman" w:hAnsi="Times New Roman" w:cs="Times New Roman"/>
          <w:b w:val="0"/>
          <w:i w:val="0"/>
          <w:color w:val="000000"/>
          <w:sz w:val="20"/>
          <w:u w:val="none"/>
        </w:rPr>
        <w:t>, an increase of $885, or 8%, from $11,655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attributable to increased personnel compensation expenses. General and administrative expenses as a percentage of revenue </w:t>
      </w:r>
      <w:r>
        <w:rPr>
          <w:rFonts w:ascii="Times New Roman" w:eastAsia="Times New Roman" w:hAnsi="Times New Roman" w:cs="Times New Roman"/>
          <w:b w:val="0"/>
          <w:i w:val="0"/>
          <w:color w:val="000000"/>
          <w:sz w:val="20"/>
          <w:u w:val="none"/>
        </w:rPr>
        <w:t>decreased to 31%</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32%</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General and administrative expenses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were </w:t>
      </w:r>
      <w:r>
        <w:rPr>
          <w:rFonts w:ascii="Times New Roman" w:eastAsia="Times New Roman" w:hAnsi="Times New Roman" w:cs="Times New Roman"/>
          <w:b w:val="0"/>
          <w:i w:val="0"/>
          <w:color w:val="000000"/>
          <w:sz w:val="20"/>
          <w:u w:val="none"/>
        </w:rPr>
        <w:t>$37,387</w:t>
      </w:r>
      <w:r>
        <w:rPr>
          <w:rFonts w:ascii="Times New Roman" w:eastAsia="Times New Roman" w:hAnsi="Times New Roman" w:cs="Times New Roman"/>
          <w:b w:val="0"/>
          <w:i w:val="0"/>
          <w:color w:val="000000"/>
          <w:sz w:val="20"/>
          <w:u w:val="none"/>
        </w:rPr>
        <w:t>, an increase of $2,864, or 8%, from $34,523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attributable to an increased personnel compensation expenses. General and administrative expenses as a percentage of revenue </w:t>
      </w:r>
      <w:r>
        <w:rPr>
          <w:rFonts w:ascii="Times New Roman" w:eastAsia="Times New Roman" w:hAnsi="Times New Roman" w:cs="Times New Roman"/>
          <w:b w:val="0"/>
          <w:i w:val="0"/>
          <w:color w:val="000000"/>
          <w:sz w:val="20"/>
          <w:u w:val="none"/>
        </w:rPr>
        <w:t>decreased to 31%</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34%</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Research and Development Expenses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Research and development (“R&amp;D”) expenses consist primarily of salaries and related expenses, including share-based expenses for employees supporting our R&amp;D activities.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R&amp;D expenses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were </w:t>
      </w:r>
      <w:r>
        <w:rPr>
          <w:rFonts w:ascii="Times New Roman" w:eastAsia="Times New Roman" w:hAnsi="Times New Roman" w:cs="Times New Roman"/>
          <w:b w:val="0"/>
          <w:i w:val="0"/>
          <w:color w:val="000000"/>
          <w:sz w:val="20"/>
          <w:u w:val="none"/>
        </w:rPr>
        <w:t>$1,677</w:t>
      </w:r>
      <w:r>
        <w:rPr>
          <w:rFonts w:ascii="Times New Roman" w:eastAsia="Times New Roman" w:hAnsi="Times New Roman" w:cs="Times New Roman"/>
          <w:b w:val="0"/>
          <w:i w:val="0"/>
          <w:color w:val="000000"/>
          <w:sz w:val="20"/>
          <w:u w:val="none"/>
        </w:rPr>
        <w:t>, an increase of $107, or 7%, from $1,570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attributable to an increase in software subscriptions. R&amp;D expenses as a percentage of revenue </w:t>
      </w:r>
      <w:r>
        <w:rPr>
          <w:rFonts w:ascii="Times New Roman" w:eastAsia="Times New Roman" w:hAnsi="Times New Roman" w:cs="Times New Roman"/>
          <w:b w:val="0"/>
          <w:i w:val="0"/>
          <w:color w:val="000000"/>
          <w:sz w:val="20"/>
          <w:u w:val="none"/>
        </w:rPr>
        <w:t>remained flat at 4%</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R&amp;D expenses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were </w:t>
      </w:r>
      <w:r>
        <w:rPr>
          <w:rFonts w:ascii="Times New Roman" w:eastAsia="Times New Roman" w:hAnsi="Times New Roman" w:cs="Times New Roman"/>
          <w:b w:val="0"/>
          <w:i w:val="0"/>
          <w:color w:val="000000"/>
          <w:sz w:val="20"/>
          <w:u w:val="none"/>
        </w:rPr>
        <w:t>$4,899</w:t>
      </w:r>
      <w:r>
        <w:rPr>
          <w:rFonts w:ascii="Times New Roman" w:eastAsia="Times New Roman" w:hAnsi="Times New Roman" w:cs="Times New Roman"/>
          <w:b w:val="0"/>
          <w:i w:val="0"/>
          <w:color w:val="000000"/>
          <w:sz w:val="20"/>
          <w:u w:val="none"/>
        </w:rPr>
        <w:t>, a decrease of $88, or 2%, from $4,987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decrease</w:t>
      </w:r>
      <w:r>
        <w:rPr>
          <w:rFonts w:ascii="Times New Roman" w:eastAsia="Times New Roman" w:hAnsi="Times New Roman" w:cs="Times New Roman"/>
          <w:b w:val="0"/>
          <w:i w:val="0"/>
          <w:sz w:val="20"/>
        </w:rPr>
        <w:t xml:space="preserve"> is primarily attributable to an increase in capitalized software. R&amp;D expenses as a percentage of revenue </w:t>
      </w:r>
      <w:r>
        <w:rPr>
          <w:rFonts w:ascii="Times New Roman" w:eastAsia="Times New Roman" w:hAnsi="Times New Roman" w:cs="Times New Roman"/>
          <w:b w:val="0"/>
          <w:i w:val="0"/>
          <w:color w:val="000000"/>
          <w:sz w:val="20"/>
          <w:u w:val="none"/>
        </w:rPr>
        <w:t>decreased to 4%</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5%</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Amortization of Intangible Assets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Amortization expense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$4,187</w:t>
      </w:r>
      <w:r>
        <w:rPr>
          <w:rFonts w:ascii="Times New Roman" w:eastAsia="Times New Roman" w:hAnsi="Times New Roman" w:cs="Times New Roman"/>
          <w:b w:val="0"/>
          <w:i w:val="0"/>
          <w:color w:val="000000"/>
          <w:sz w:val="20"/>
          <w:u w:val="none"/>
        </w:rPr>
        <w:t>, a decrease of $582, or 12%, from $4,769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decrease</w:t>
      </w:r>
      <w:r>
        <w:rPr>
          <w:rFonts w:ascii="Times New Roman" w:eastAsia="Times New Roman" w:hAnsi="Times New Roman" w:cs="Times New Roman"/>
          <w:b w:val="0"/>
          <w:i w:val="0"/>
          <w:sz w:val="20"/>
        </w:rPr>
        <w:t xml:space="preserve"> is primarily attributable to intangible assets fully amortized in the current year. Amortization expense as a percentage of revenue </w:t>
      </w:r>
      <w:r>
        <w:rPr>
          <w:rFonts w:ascii="Times New Roman" w:eastAsia="Times New Roman" w:hAnsi="Times New Roman" w:cs="Times New Roman"/>
          <w:b w:val="0"/>
          <w:i w:val="0"/>
          <w:color w:val="000000"/>
          <w:sz w:val="20"/>
          <w:u w:val="none"/>
        </w:rPr>
        <w:t>decreased to 10%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13%</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Amortization expense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$13,848</w:t>
      </w:r>
      <w:r>
        <w:rPr>
          <w:rFonts w:ascii="Times New Roman" w:eastAsia="Times New Roman" w:hAnsi="Times New Roman" w:cs="Times New Roman"/>
          <w:b w:val="0"/>
          <w:i w:val="0"/>
          <w:color w:val="000000"/>
          <w:sz w:val="20"/>
          <w:u w:val="none"/>
        </w:rPr>
        <w:t>, an increase of $598, or 5%, from $13,250 for</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is primarily attributable to our continuing acquisitions strategy, with additional acquisitions occurring each quarter. Amortization expense as a percentage of revenue </w:t>
      </w:r>
      <w:r>
        <w:rPr>
          <w:rFonts w:ascii="Times New Roman" w:eastAsia="Times New Roman" w:hAnsi="Times New Roman" w:cs="Times New Roman"/>
          <w:b w:val="0"/>
          <w:i w:val="0"/>
          <w:color w:val="000000"/>
          <w:sz w:val="20"/>
          <w:u w:val="none"/>
        </w:rPr>
        <w:t>decreased to 12%</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from </w:t>
      </w:r>
      <w:r>
        <w:rPr>
          <w:rFonts w:ascii="Times New Roman" w:eastAsia="Times New Roman" w:hAnsi="Times New Roman" w:cs="Times New Roman"/>
          <w:b w:val="0"/>
          <w:i w:val="0"/>
          <w:color w:val="000000"/>
          <w:sz w:val="20"/>
          <w:u w:val="none"/>
        </w:rPr>
        <w:t>13%</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Interest Income and Expense</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Interest income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$178</w:t>
      </w:r>
      <w:r>
        <w:rPr>
          <w:rFonts w:ascii="Times New Roman" w:eastAsia="Times New Roman" w:hAnsi="Times New Roman" w:cs="Times New Roman"/>
          <w:b w:val="0"/>
          <w:i w:val="0"/>
          <w:sz w:val="20"/>
        </w:rPr>
        <w:t xml:space="preserve"> compared to interest income of </w:t>
      </w:r>
      <w:r>
        <w:rPr>
          <w:rFonts w:ascii="Times New Roman" w:eastAsia="Times New Roman" w:hAnsi="Times New Roman" w:cs="Times New Roman"/>
          <w:b w:val="0"/>
          <w:i w:val="0"/>
          <w:color w:val="000000"/>
          <w:sz w:val="20"/>
          <w:u w:val="none"/>
        </w:rPr>
        <w:t>$250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Interest income as a percentage of revenue was negligible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1%</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Interest expense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$1,762</w:t>
      </w:r>
      <w:r>
        <w:rPr>
          <w:rFonts w:ascii="Times New Roman" w:eastAsia="Times New Roman" w:hAnsi="Times New Roman" w:cs="Times New Roman"/>
          <w:b w:val="0"/>
          <w:i w:val="0"/>
          <w:sz w:val="20"/>
        </w:rPr>
        <w:t xml:space="preserve"> compared to interest expense of </w:t>
      </w:r>
      <w:r>
        <w:rPr>
          <w:rFonts w:ascii="Times New Roman" w:eastAsia="Times New Roman" w:hAnsi="Times New Roman" w:cs="Times New Roman"/>
          <w:b w:val="0"/>
          <w:i w:val="0"/>
          <w:color w:val="000000"/>
          <w:sz w:val="20"/>
          <w:u w:val="none"/>
        </w:rPr>
        <w:t>$1,966</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Interest expense as a percentage of revenue was </w:t>
      </w:r>
      <w:r>
        <w:rPr>
          <w:rFonts w:ascii="Times New Roman" w:eastAsia="Times New Roman" w:hAnsi="Times New Roman" w:cs="Times New Roman"/>
          <w:b w:val="0"/>
          <w:i w:val="0"/>
          <w:color w:val="000000"/>
          <w:sz w:val="20"/>
          <w:u w:val="none"/>
        </w:rPr>
        <w:t>4%</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5%</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decrease</w:t>
      </w:r>
      <w:r>
        <w:rPr>
          <w:rFonts w:ascii="Times New Roman" w:eastAsia="Times New Roman" w:hAnsi="Times New Roman" w:cs="Times New Roman"/>
          <w:b w:val="0"/>
          <w:i w:val="0"/>
          <w:sz w:val="20"/>
        </w:rPr>
        <w:t xml:space="preserve"> in Interest expense in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is primarily related to the variable interest rate accrued under our Loan Agreement (defined below) with MidCap Financial Trust (“MidCap”) being lower in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compared to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Interest income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$532</w:t>
      </w:r>
      <w:r>
        <w:rPr>
          <w:rFonts w:ascii="Times New Roman" w:eastAsia="Times New Roman" w:hAnsi="Times New Roman" w:cs="Times New Roman"/>
          <w:b w:val="0"/>
          <w:i w:val="0"/>
          <w:sz w:val="20"/>
        </w:rPr>
        <w:t xml:space="preserve"> compared to interest income of </w:t>
      </w:r>
      <w:r>
        <w:rPr>
          <w:rFonts w:ascii="Times New Roman" w:eastAsia="Times New Roman" w:hAnsi="Times New Roman" w:cs="Times New Roman"/>
          <w:b w:val="0"/>
          <w:i w:val="0"/>
          <w:color w:val="000000"/>
          <w:sz w:val="20"/>
          <w:u w:val="none"/>
        </w:rPr>
        <w:t>$698</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Interest income as a percentage of revenue was negligible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1%</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Interest expense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$5,261</w:t>
      </w:r>
      <w:r>
        <w:rPr>
          <w:rFonts w:ascii="Times New Roman" w:eastAsia="Times New Roman" w:hAnsi="Times New Roman" w:cs="Times New Roman"/>
          <w:b w:val="0"/>
          <w:i w:val="0"/>
          <w:sz w:val="20"/>
        </w:rPr>
        <w:t xml:space="preserve"> compared to interest expense of </w:t>
      </w:r>
      <w:r>
        <w:rPr>
          <w:rFonts w:ascii="Times New Roman" w:eastAsia="Times New Roman" w:hAnsi="Times New Roman" w:cs="Times New Roman"/>
          <w:b w:val="0"/>
          <w:i w:val="0"/>
          <w:color w:val="000000"/>
          <w:sz w:val="20"/>
          <w:u w:val="none"/>
        </w:rPr>
        <w:t>$3,226</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Interest expense as a percentage of revenue was </w:t>
      </w:r>
      <w:r>
        <w:rPr>
          <w:rFonts w:ascii="Times New Roman" w:eastAsia="Times New Roman" w:hAnsi="Times New Roman" w:cs="Times New Roman"/>
          <w:b w:val="0"/>
          <w:i w:val="0"/>
          <w:color w:val="000000"/>
          <w:sz w:val="20"/>
          <w:u w:val="none"/>
        </w:rPr>
        <w:t>4%</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3%</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The </w:t>
      </w:r>
      <w:r>
        <w:rPr>
          <w:rFonts w:ascii="Times New Roman" w:eastAsia="Times New Roman" w:hAnsi="Times New Roman" w:cs="Times New Roman"/>
          <w:b w:val="0"/>
          <w:i w:val="0"/>
          <w:color w:val="000000"/>
          <w:sz w:val="20"/>
          <w:u w:val="none"/>
        </w:rPr>
        <w:t>increase</w:t>
      </w:r>
      <w:r>
        <w:rPr>
          <w:rFonts w:ascii="Times New Roman" w:eastAsia="Times New Roman" w:hAnsi="Times New Roman" w:cs="Times New Roman"/>
          <w:b w:val="0"/>
          <w:i w:val="0"/>
          <w:sz w:val="20"/>
        </w:rPr>
        <w:t xml:space="preserve"> in interest expense in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is primarily related to interest accrued under our Loan Agreement with MidCap entered into on April 10, 2025.</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i w:val="0"/>
          <w:sz w:val="20"/>
        </w:rPr>
        <w:t xml:space="preserve">Other </w:t>
      </w:r>
      <w:r>
        <w:rPr>
          <w:rFonts w:ascii="Times New Roman" w:eastAsia="Times New Roman" w:hAnsi="Times New Roman" w:cs="Times New Roman"/>
          <w:b/>
          <w:i w:val="0"/>
          <w:color w:val="000000"/>
          <w:sz w:val="20"/>
          <w:u w:val="none"/>
        </w:rPr>
        <w:t>Income</w:t>
      </w:r>
      <w:r>
        <w:rPr>
          <w:rFonts w:ascii="Times New Roman" w:eastAsia="Times New Roman" w:hAnsi="Times New Roman" w:cs="Times New Roman"/>
          <w:b/>
          <w:i w:val="0"/>
          <w:sz w:val="20"/>
        </w:rPr>
        <w:t>, Net</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Other income, net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$9</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$220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Other income, net as a percentage of revenue was negligible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1%</w:t>
      </w:r>
      <w:r>
        <w:rPr>
          <w:rFonts w:ascii="Times New Roman" w:eastAsia="Times New Roman" w:hAnsi="Times New Roman" w:cs="Times New Roman"/>
          <w:b w:val="0"/>
          <w:i w:val="0"/>
          <w:sz w:val="20"/>
        </w:rPr>
        <w:t xml:space="preserve"> for the same period in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Other income, net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$9</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$312</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Other income, net as a percentage of revenue was negligible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Income Taxes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we recorded income tax benefit attributable to continuing operations of </w:t>
      </w:r>
      <w:r>
        <w:rPr>
          <w:rFonts w:ascii="Times New Roman" w:eastAsia="Times New Roman" w:hAnsi="Times New Roman" w:cs="Times New Roman"/>
          <w:b w:val="0"/>
          <w:i w:val="0"/>
          <w:color w:val="000000"/>
          <w:sz w:val="20"/>
          <w:u w:val="none"/>
        </w:rPr>
        <w:t>$456</w:t>
      </w:r>
      <w:r>
        <w:rPr>
          <w:rFonts w:ascii="Times New Roman" w:eastAsia="Times New Roman" w:hAnsi="Times New Roman" w:cs="Times New Roman"/>
          <w:b w:val="0"/>
          <w:i w:val="0"/>
          <w:sz w:val="20"/>
        </w:rPr>
        <w:t xml:space="preserve"> compared to an income tax expense of </w:t>
      </w:r>
      <w:r>
        <w:rPr>
          <w:rFonts w:ascii="Times New Roman" w:eastAsia="Times New Roman" w:hAnsi="Times New Roman" w:cs="Times New Roman"/>
          <w:b w:val="0"/>
          <w:i w:val="0"/>
          <w:color w:val="000000"/>
          <w:sz w:val="20"/>
          <w:u w:val="none"/>
        </w:rPr>
        <w:t>$367</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color w:val="000000"/>
          <w:sz w:val="20"/>
          <w:u w:val="none"/>
        </w:rPr>
        <w:t xml:space="preserve">, a decrease of </w:t>
      </w:r>
      <w:r>
        <w:rPr>
          <w:rFonts w:ascii="Times New Roman" w:eastAsia="Times New Roman" w:hAnsi="Times New Roman" w:cs="Times New Roman"/>
          <w:b w:val="0"/>
          <w:i w:val="0"/>
          <w:color w:val="000000"/>
          <w:sz w:val="20"/>
          <w:u w:val="none"/>
        </w:rPr>
        <w:t>$823</w:t>
      </w:r>
      <w:r>
        <w:rPr>
          <w:rFonts w:ascii="Times New Roman" w:eastAsia="Times New Roman" w:hAnsi="Times New Roman" w:cs="Times New Roman"/>
          <w:b w:val="0"/>
          <w:i w:val="0"/>
          <w:sz w:val="20"/>
        </w:rPr>
        <w:t xml:space="preserve">.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we recorded income tax expense attributable to continuing operations of </w:t>
      </w:r>
      <w:r>
        <w:rPr>
          <w:rFonts w:ascii="Times New Roman" w:eastAsia="Times New Roman" w:hAnsi="Times New Roman" w:cs="Times New Roman"/>
          <w:b w:val="0"/>
          <w:i w:val="0"/>
          <w:color w:val="000000"/>
          <w:sz w:val="20"/>
          <w:u w:val="none"/>
        </w:rPr>
        <w:t>$150</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$1,501</w:t>
      </w:r>
      <w:r>
        <w:rPr>
          <w:rFonts w:ascii="Times New Roman" w:eastAsia="Times New Roman" w:hAnsi="Times New Roman" w:cs="Times New Roman"/>
          <w:b w:val="0"/>
          <w:i w:val="0"/>
          <w:sz w:val="20"/>
        </w:rPr>
        <w:t>, respectively</w:t>
      </w:r>
      <w:r>
        <w:rPr>
          <w:rFonts w:ascii="Times New Roman" w:eastAsia="Times New Roman" w:hAnsi="Times New Roman" w:cs="Times New Roman"/>
          <w:b w:val="0"/>
          <w:i w:val="0"/>
          <w:color w:val="000000"/>
          <w:sz w:val="20"/>
          <w:u w:val="none"/>
        </w:rPr>
        <w:t xml:space="preserve">, a decrease of </w:t>
      </w:r>
      <w:r>
        <w:rPr>
          <w:rFonts w:ascii="Times New Roman" w:eastAsia="Times New Roman" w:hAnsi="Times New Roman" w:cs="Times New Roman"/>
          <w:b w:val="0"/>
          <w:i w:val="0"/>
          <w:color w:val="000000"/>
          <w:sz w:val="20"/>
          <w:u w:val="none"/>
        </w:rPr>
        <w:t>$1,351</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color w:val="000000"/>
          <w:sz w:val="20"/>
          <w:u w:val="none"/>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u w:val="none"/>
        </w:rPr>
      </w:pPr>
      <w:r>
        <w:rPr>
          <w:rFonts w:ascii="Times New Roman" w:eastAsia="Times New Roman" w:hAnsi="Times New Roman" w:cs="Times New Roman"/>
          <w:b/>
          <w:i w:val="0"/>
          <w:sz w:val="20"/>
        </w:rPr>
        <w:t xml:space="preserve">Net </w:t>
      </w:r>
      <w:r>
        <w:rPr>
          <w:rFonts w:ascii="Times New Roman" w:eastAsia="Times New Roman" w:hAnsi="Times New Roman" w:cs="Times New Roman"/>
          <w:b/>
          <w:i w:val="0"/>
          <w:color w:val="000000"/>
          <w:sz w:val="20"/>
          <w:u w:val="none"/>
        </w:rPr>
        <w:t>Loss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We </w:t>
      </w:r>
      <w:r>
        <w:rPr>
          <w:rFonts w:ascii="Times New Roman" w:eastAsia="Times New Roman" w:hAnsi="Times New Roman" w:cs="Times New Roman"/>
          <w:b w:val="0"/>
          <w:i w:val="0"/>
          <w:color w:val="000000"/>
          <w:sz w:val="20"/>
          <w:u w:val="none"/>
        </w:rPr>
        <w:t>incurred a loss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$604</w:t>
      </w:r>
      <w:r>
        <w:rPr>
          <w:rFonts w:ascii="Times New Roman" w:eastAsia="Times New Roman" w:hAnsi="Times New Roman" w:cs="Times New Roman"/>
          <w:b w:val="0"/>
          <w:i w:val="0"/>
          <w:sz w:val="20"/>
        </w:rPr>
        <w:t xml:space="preserve">, or </w:t>
      </w:r>
      <w:r>
        <w:rPr>
          <w:rFonts w:ascii="Times New Roman" w:eastAsia="Times New Roman" w:hAnsi="Times New Roman" w:cs="Times New Roman"/>
          <w:b w:val="0"/>
          <w:i w:val="0"/>
          <w:color w:val="000000"/>
          <w:sz w:val="20"/>
          <w:u w:val="none"/>
        </w:rPr>
        <w:t>$0.02</w:t>
      </w:r>
      <w:r>
        <w:rPr>
          <w:rFonts w:ascii="Times New Roman" w:eastAsia="Times New Roman" w:hAnsi="Times New Roman" w:cs="Times New Roman"/>
          <w:b w:val="0"/>
          <w:i w:val="0"/>
          <w:sz w:val="20"/>
        </w:rPr>
        <w:t xml:space="preserve"> per share, during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a loss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$5,362</w:t>
      </w:r>
      <w:r>
        <w:rPr>
          <w:rFonts w:ascii="Times New Roman" w:eastAsia="Times New Roman" w:hAnsi="Times New Roman" w:cs="Times New Roman"/>
          <w:b w:val="0"/>
          <w:i w:val="0"/>
          <w:sz w:val="20"/>
        </w:rPr>
        <w:t xml:space="preserve">, or </w:t>
      </w:r>
      <w:r>
        <w:rPr>
          <w:rFonts w:ascii="Times New Roman" w:eastAsia="Times New Roman" w:hAnsi="Times New Roman" w:cs="Times New Roman"/>
          <w:b w:val="0"/>
          <w:i w:val="0"/>
          <w:color w:val="000000"/>
          <w:sz w:val="20"/>
          <w:u w:val="none"/>
        </w:rPr>
        <w:t>$0.19</w:t>
      </w:r>
      <w:r>
        <w:rPr>
          <w:rFonts w:ascii="Times New Roman" w:eastAsia="Times New Roman" w:hAnsi="Times New Roman" w:cs="Times New Roman"/>
          <w:b w:val="0"/>
          <w:i w:val="0"/>
          <w:sz w:val="20"/>
        </w:rPr>
        <w:t xml:space="preserve"> per share, during the </w:t>
      </w:r>
      <w:r>
        <w:rPr>
          <w:rFonts w:ascii="Times New Roman" w:eastAsia="Times New Roman" w:hAnsi="Times New Roman" w:cs="Times New Roman"/>
          <w:b w:val="0"/>
          <w:i w:val="0"/>
          <w:color w:val="000000"/>
          <w:sz w:val="20"/>
          <w:u w:val="none"/>
        </w:rPr>
        <w:t>three months ended September 30, 2025</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sz w:val="20"/>
        </w:rPr>
        <w:t xml:space="preserve"> as a percentage of total revenue was </w:t>
      </w:r>
      <w:r>
        <w:rPr>
          <w:rFonts w:ascii="Times New Roman" w:eastAsia="Times New Roman" w:hAnsi="Times New Roman" w:cs="Times New Roman"/>
          <w:b w:val="0"/>
          <w:i w:val="0"/>
          <w:color w:val="000000"/>
          <w:sz w:val="20"/>
          <w:u w:val="none"/>
        </w:rPr>
        <w:t>2%</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15%</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respectively.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none"/>
        </w:rPr>
      </w:pPr>
      <w:r>
        <w:rPr>
          <w:rFonts w:ascii="Times New Roman" w:eastAsia="Times New Roman" w:hAnsi="Times New Roman" w:cs="Times New Roman"/>
          <w:b w:val="0"/>
          <w:i w:val="0"/>
          <w:sz w:val="20"/>
        </w:rPr>
        <w:t xml:space="preserve">We </w:t>
      </w:r>
      <w:r>
        <w:rPr>
          <w:rFonts w:ascii="Times New Roman" w:eastAsia="Times New Roman" w:hAnsi="Times New Roman" w:cs="Times New Roman"/>
          <w:b w:val="0"/>
          <w:i w:val="0"/>
          <w:color w:val="000000"/>
          <w:sz w:val="20"/>
          <w:u w:val="none"/>
        </w:rPr>
        <w:t>incurred a loss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$4,422</w:t>
      </w:r>
      <w:r>
        <w:rPr>
          <w:rFonts w:ascii="Times New Roman" w:eastAsia="Times New Roman" w:hAnsi="Times New Roman" w:cs="Times New Roman"/>
          <w:b w:val="0"/>
          <w:i w:val="0"/>
          <w:sz w:val="20"/>
        </w:rPr>
        <w:t xml:space="preserve">, or </w:t>
      </w:r>
      <w:r>
        <w:rPr>
          <w:rFonts w:ascii="Times New Roman" w:eastAsia="Times New Roman" w:hAnsi="Times New Roman" w:cs="Times New Roman"/>
          <w:b w:val="0"/>
          <w:i w:val="0"/>
          <w:color w:val="000000"/>
          <w:sz w:val="20"/>
          <w:u w:val="none"/>
        </w:rPr>
        <w:t>$0.15</w:t>
      </w:r>
      <w:r>
        <w:rPr>
          <w:rFonts w:ascii="Times New Roman" w:eastAsia="Times New Roman" w:hAnsi="Times New Roman" w:cs="Times New Roman"/>
          <w:b w:val="0"/>
          <w:i w:val="0"/>
          <w:sz w:val="20"/>
        </w:rPr>
        <w:t xml:space="preserve"> per share, during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compared to </w:t>
      </w:r>
      <w:r>
        <w:rPr>
          <w:rFonts w:ascii="Times New Roman" w:eastAsia="Times New Roman" w:hAnsi="Times New Roman" w:cs="Times New Roman"/>
          <w:b w:val="0"/>
          <w:i w:val="0"/>
          <w:color w:val="000000"/>
          <w:sz w:val="20"/>
          <w:u w:val="none"/>
        </w:rPr>
        <w:t>a loss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$13,883</w:t>
      </w:r>
      <w:r>
        <w:rPr>
          <w:rFonts w:ascii="Times New Roman" w:eastAsia="Times New Roman" w:hAnsi="Times New Roman" w:cs="Times New Roman"/>
          <w:b w:val="0"/>
          <w:i w:val="0"/>
          <w:sz w:val="20"/>
        </w:rPr>
        <w:t xml:space="preserve">, or </w:t>
      </w:r>
      <w:r>
        <w:rPr>
          <w:rFonts w:ascii="Times New Roman" w:eastAsia="Times New Roman" w:hAnsi="Times New Roman" w:cs="Times New Roman"/>
          <w:b w:val="0"/>
          <w:i w:val="0"/>
          <w:color w:val="000000"/>
          <w:sz w:val="20"/>
          <w:u w:val="none"/>
        </w:rPr>
        <w:t>$0.51</w:t>
      </w:r>
      <w:r>
        <w:rPr>
          <w:rFonts w:ascii="Times New Roman" w:eastAsia="Times New Roman" w:hAnsi="Times New Roman" w:cs="Times New Roman"/>
          <w:b w:val="0"/>
          <w:i w:val="0"/>
          <w:sz w:val="20"/>
        </w:rPr>
        <w:t xml:space="preserve"> per share, during the </w:t>
      </w:r>
      <w:r>
        <w:rPr>
          <w:rFonts w:ascii="Times New Roman" w:eastAsia="Times New Roman" w:hAnsi="Times New Roman" w:cs="Times New Roman"/>
          <w:b w:val="0"/>
          <w:i w:val="0"/>
          <w:color w:val="000000"/>
          <w:sz w:val="20"/>
          <w:u w:val="none"/>
        </w:rPr>
        <w:t>nine months ended September 30, 2025</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sz w:val="20"/>
        </w:rPr>
        <w:t xml:space="preserve"> as a percentage of total revenue was </w:t>
      </w:r>
      <w:r>
        <w:rPr>
          <w:rFonts w:ascii="Times New Roman" w:eastAsia="Times New Roman" w:hAnsi="Times New Roman" w:cs="Times New Roman"/>
          <w:b w:val="0"/>
          <w:i w:val="0"/>
          <w:color w:val="000000"/>
          <w:sz w:val="20"/>
          <w:u w:val="none"/>
        </w:rPr>
        <w:t>4%</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14%</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 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respectively. </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color w:val="000000"/>
          <w:sz w:val="20"/>
          <w:u w:val="none"/>
        </w:rPr>
        <w:sectPr>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25" w:name="Section26"/>
      <w:bookmarkEnd w:id="25"/>
    </w:p>
    <w:p>
      <w:pPr>
        <w:keepNext/>
        <w:keepLines/>
        <w:pageBreakBefore w:val="0"/>
        <w:widowControl w:val="0"/>
        <w:numPr>
          <w:ilvl w:val="0"/>
          <w:numId w:val="0"/>
        </w:numPr>
        <w:spacing w:before="0" w:after="0" w:line="288" w:lineRule="auto"/>
        <w:ind w:left="0" w:right="0" w:firstLine="0"/>
        <w:jc w:val="both"/>
        <w:outlineLvl w:val="2"/>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 xml:space="preserve">LIQUIDITY AND CAPITAL RESOURCES </w:t>
      </w:r>
      <w:r>
        <w:rPr>
          <w:rFonts w:ascii="Times New Roman" w:eastAsia="Times New Roman" w:hAnsi="Times New Roman" w:cs="Times New Roman"/>
          <w:b w:val="0"/>
          <w:i w:val="0"/>
          <w:color w:val="000000"/>
          <w:sz w:val="20"/>
          <w:highlight w:val="white"/>
          <w:u w:val="none"/>
        </w:rPr>
        <w:t>(in thousands)</w:t>
      </w:r>
    </w:p>
    <w:tbl>
      <w:tblPr>
        <w:tblStyle w:val="TableNormal0"/>
        <w:tblW w:w="10260" w:type="dxa"/>
        <w:jc w:val="center"/>
        <w:tblLayout w:type="fixed"/>
      </w:tblPr>
      <w:tblGrid>
        <w:gridCol w:w="6165"/>
        <w:gridCol w:w="2025"/>
        <w:gridCol w:w="60"/>
        <w:gridCol w:w="2010"/>
      </w:tblGrid>
      <w:tr>
        <w:tblPrEx>
          <w:tblW w:w="10260" w:type="dxa"/>
          <w:tblLayout w:type="fixed"/>
        </w:tblPrEx>
        <w:trPr>
          <w:trHeight w:hRule="exact" w:val="285"/>
        </w:trPr>
        <w:tc>
          <w:tcPr>
            <w:tcW w:w="616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2025"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September 30, 2026</w:t>
            </w:r>
          </w:p>
        </w:tc>
        <w:tc>
          <w:tcPr>
            <w:tcW w:w="60"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201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20"/>
                <w:u w:val="none"/>
              </w:rPr>
              <w:t>December 31, 2025</w:t>
            </w:r>
          </w:p>
        </w:tc>
      </w:tr>
      <w:tr>
        <w:tblPrEx>
          <w:tblW w:w="10260" w:type="dxa"/>
          <w:tblLayout w:type="fixed"/>
        </w:tblPrEx>
        <w:trPr>
          <w:trHeight w:hRule="exact" w:val="300"/>
        </w:trPr>
        <w:tc>
          <w:tcPr>
            <w:tcW w:w="6165" w:type="dxa"/>
            <w:tcBorders>
              <w:top w:val="nil"/>
              <w:left w:val="nil"/>
              <w:bottom w:val="nil"/>
              <w:right w:val="nil"/>
            </w:tcBorders>
            <w:shd w:val="clear" w:color="auto" w:fill="CCEEFF"/>
            <w:tcMar>
              <w:top w:w="0" w:type="dxa"/>
              <w:left w:w="53" w:type="dxa"/>
              <w:bottom w:w="0" w:type="dxa"/>
              <w:right w:w="53" w:type="dxa"/>
            </w:tcMar>
            <w:vAlign w:val="bottom"/>
          </w:tcPr>
          <w:p>
            <w:pPr>
              <w:pageBreakBefore w:val="0"/>
              <w:numPr>
                <w:ilvl w:val="0"/>
                <w:numId w:val="0"/>
              </w:numPr>
              <w:spacing w:before="3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Cash and cash equivalents</w:t>
            </w:r>
            <w:r>
              <w:rPr>
                <w:rFonts w:ascii="Times New Roman" w:eastAsia="Times New Roman" w:hAnsi="Times New Roman" w:cs="Times New Roman"/>
                <w:b w:val="0"/>
                <w:i w:val="0"/>
                <w:sz w:val="20"/>
                <w:vertAlign w:val="superscript"/>
              </w:rPr>
              <w:t>(1)</w:t>
            </w:r>
          </w:p>
        </w:tc>
        <w:tc>
          <w:tcPr>
            <w:tcW w:w="2025"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342"/>
                <w:tab w:val="left" w:pos="1957"/>
              </w:tabs>
              <w:spacing w:before="33" w:after="30" w:line="240" w:lineRule="auto"/>
              <w:jc w:val="right"/>
            </w:pPr>
            <w:r>
              <w:rPr>
                <w:rFonts w:ascii="Times New Roman" w:eastAsia="Times New Roman" w:hAnsi="Times New Roman" w:cs="Times New Roman"/>
                <w:b w:val="0"/>
                <w:i w:val="0"/>
                <w:color w:val="000000"/>
                <w:sz w:val="20"/>
                <w:u w:val="none"/>
              </w:rPr>
              <w:t>$</w:t>
              <w:tab/>
              <w:t>16,780</w:t>
              <w:tab/>
            </w:r>
          </w:p>
        </w:tc>
        <w:tc>
          <w:tcPr>
            <w:tcW w:w="60" w:type="dxa"/>
            <w:tcBorders>
              <w:top w:val="nil"/>
              <w:left w:val="nil"/>
              <w:bottom w:val="nil"/>
              <w:right w:val="nil"/>
            </w:tcBorders>
            <w:shd w:val="clear" w:color="auto" w:fill="CCEEFF"/>
            <w:tcMar>
              <w:top w:w="0" w:type="dxa"/>
              <w:left w:w="0" w:type="dxa"/>
              <w:bottom w:w="0" w:type="dxa"/>
              <w:right w:w="0" w:type="dxa"/>
            </w:tcMar>
            <w:vAlign w:val="bottom"/>
          </w:tcPr>
          <w:p>
            <w:pPr>
              <w:pageBreakBefore w:val="0"/>
              <w:spacing w:before="0" w:after="0"/>
            </w:pPr>
          </w:p>
        </w:tc>
        <w:tc>
          <w:tcPr>
            <w:tcW w:w="2010" w:type="dxa"/>
            <w:tcBorders>
              <w:top w:val="single" w:sz="8" w:space="0" w:color="000000"/>
              <w:left w:val="nil"/>
              <w:bottom w:val="nil"/>
              <w:right w:val="nil"/>
            </w:tcBorders>
            <w:shd w:val="clear" w:color="auto" w:fill="CCEEFF"/>
            <w:tcMar>
              <w:top w:w="0" w:type="dxa"/>
              <w:left w:w="0" w:type="dxa"/>
              <w:bottom w:w="0" w:type="dxa"/>
              <w:right w:w="15" w:type="dxa"/>
            </w:tcMar>
            <w:vAlign w:val="bottom"/>
          </w:tcPr>
          <w:p>
            <w:pPr>
              <w:pageBreakBefore w:val="0"/>
              <w:tabs>
                <w:tab w:val="left" w:pos="1327"/>
                <w:tab w:val="left" w:pos="1942"/>
              </w:tabs>
              <w:spacing w:before="33" w:after="30" w:line="240" w:lineRule="auto"/>
              <w:jc w:val="right"/>
            </w:pPr>
            <w:r>
              <w:rPr>
                <w:rFonts w:ascii="Times New Roman" w:eastAsia="Times New Roman" w:hAnsi="Times New Roman" w:cs="Times New Roman"/>
                <w:b w:val="0"/>
                <w:i w:val="0"/>
                <w:color w:val="000000"/>
                <w:sz w:val="20"/>
                <w:u w:val="none"/>
              </w:rPr>
              <w:t>$</w:t>
              <w:tab/>
              <w:t>25,244</w:t>
              <w:tab/>
            </w:r>
          </w:p>
        </w:tc>
      </w:tr>
    </w:tbl>
    <w:p>
      <w:pPr>
        <w:keepNext/>
        <w:keepLines/>
        <w:pageBreakBefore w:val="0"/>
        <w:widowControl w:val="0"/>
        <w:numPr>
          <w:ilvl w:val="0"/>
          <w:numId w:val="18"/>
        </w:numPr>
        <w:spacing w:before="0" w:after="0" w:line="288" w:lineRule="auto"/>
        <w:ind w:left="720" w:right="0" w:hanging="720"/>
        <w:jc w:val="left"/>
        <w:outlineLvl w:val="9"/>
        <w:rPr>
          <w:rFonts w:ascii="Times New Roman" w:eastAsia="Times New Roman" w:hAnsi="Times New Roman" w:cs="Times New Roman"/>
          <w:b w:val="0"/>
          <w:i w:val="0"/>
          <w:sz w:val="16"/>
        </w:rPr>
      </w:pPr>
      <w:r>
        <w:rPr>
          <w:rFonts w:ascii="Times New Roman" w:eastAsia="Times New Roman" w:hAnsi="Times New Roman" w:cs="Times New Roman"/>
          <w:b w:val="0"/>
          <w:i w:val="0"/>
          <w:sz w:val="16"/>
        </w:rPr>
        <w:t>This balance excludes cash equivalents in funds held for clients.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color w:val="000000"/>
          <w:sz w:val="20"/>
          <w:u w:val="single"/>
        </w:rPr>
        <w:t>Working Capital</w:t>
      </w:r>
      <w:r>
        <w:rPr>
          <w:rFonts w:ascii="Times New Roman" w:eastAsia="Times New Roman" w:hAnsi="Times New Roman" w:cs="Times New Roman"/>
          <w:b w:val="0"/>
          <w:i w:val="0"/>
          <w:sz w:val="20"/>
        </w:rPr>
        <w:t xml:space="preserve">. We had working capital of </w:t>
      </w:r>
      <w:r>
        <w:rPr>
          <w:rFonts w:ascii="Times New Roman" w:eastAsia="Times New Roman" w:hAnsi="Times New Roman" w:cs="Times New Roman"/>
          <w:b w:val="0"/>
          <w:i w:val="0"/>
          <w:color w:val="000000"/>
          <w:sz w:val="20"/>
          <w:u w:val="none"/>
        </w:rPr>
        <w:t>$11,419</w:t>
      </w:r>
      <w:r>
        <w:rPr>
          <w:rFonts w:ascii="Times New Roman" w:eastAsia="Times New Roman" w:hAnsi="Times New Roman" w:cs="Times New Roman"/>
          <w:b w:val="0"/>
          <w:i w:val="0"/>
          <w:sz w:val="20"/>
        </w:rPr>
        <w:t xml:space="preserve"> at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a decrease of $7,227 from working capital of $18,646 at</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sz w:val="20"/>
        </w:rPr>
        <w:t xml:space="preserve">. Working capital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sz w:val="20"/>
        </w:rPr>
        <w:t xml:space="preserve"> includes </w:t>
      </w:r>
      <w:r>
        <w:rPr>
          <w:rFonts w:ascii="Times New Roman" w:eastAsia="Times New Roman" w:hAnsi="Times New Roman" w:cs="Times New Roman"/>
          <w:b w:val="0"/>
          <w:i w:val="0"/>
          <w:color w:val="000000"/>
          <w:sz w:val="20"/>
          <w:u w:val="none"/>
        </w:rPr>
        <w:t>$5,864</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$11,622</w:t>
      </w:r>
      <w:r>
        <w:rPr>
          <w:rFonts w:ascii="Times New Roman" w:eastAsia="Times New Roman" w:hAnsi="Times New Roman" w:cs="Times New Roman"/>
          <w:b w:val="0"/>
          <w:i w:val="0"/>
          <w:sz w:val="20"/>
        </w:rPr>
        <w:t> of short-term deferred revenue, respectively. Deferred revenue is an obligation to perform future services. We expect that deferred revenue will convert to future revenue as we perform our services, but this does not represent future payments. Deferred revenue can vary based on seasonality, expiration of initial multi-year contracts and deals that are billed after implementation rather than in advance of service delivery.</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color w:val="000000"/>
          <w:sz w:val="20"/>
          <w:u w:val="single"/>
        </w:rPr>
        <w:t>Operating Activities</w:t>
      </w:r>
      <w:r>
        <w:rPr>
          <w:rFonts w:ascii="Times New Roman" w:eastAsia="Times New Roman" w:hAnsi="Times New Roman" w:cs="Times New Roman"/>
          <w:b w:val="0"/>
          <w:i w:val="0"/>
          <w:sz w:val="20"/>
        </w:rPr>
        <w:t xml:space="preserve">. Net cash </w:t>
      </w:r>
      <w:r>
        <w:rPr>
          <w:rFonts w:ascii="Times New Roman" w:eastAsia="Times New Roman" w:hAnsi="Times New Roman" w:cs="Times New Roman"/>
          <w:b w:val="0"/>
          <w:i w:val="0"/>
          <w:color w:val="000000"/>
          <w:sz w:val="20"/>
          <w:u w:val="none"/>
        </w:rPr>
        <w:t>provided by operating activities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$12,810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was primarily driven by non-cash adjustments to our net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sz w:val="20"/>
        </w:rPr>
        <w:t xml:space="preserve"> of approximately </w:t>
      </w:r>
      <w:r>
        <w:rPr>
          <w:rFonts w:ascii="Times New Roman" w:eastAsia="Times New Roman" w:hAnsi="Times New Roman" w:cs="Times New Roman"/>
          <w:b w:val="0"/>
          <w:i w:val="0"/>
          <w:color w:val="000000"/>
          <w:sz w:val="20"/>
          <w:u w:val="none"/>
        </w:rPr>
        <w:t>$27,780</w:t>
      </w:r>
      <w:r>
        <w:rPr>
          <w:rFonts w:ascii="Times New Roman" w:eastAsia="Times New Roman" w:hAnsi="Times New Roman" w:cs="Times New Roman"/>
          <w:b w:val="0"/>
          <w:i w:val="0"/>
          <w:sz w:val="20"/>
        </w:rPr>
        <w:t xml:space="preserve">, primarily due to depreciation, amortization, and share-based compensation. This was offset by changes in operating assets and liabilities, which resulted in </w:t>
      </w:r>
      <w:r>
        <w:rPr>
          <w:rFonts w:ascii="Times New Roman" w:eastAsia="Times New Roman" w:hAnsi="Times New Roman" w:cs="Times New Roman"/>
          <w:b w:val="0"/>
          <w:i w:val="0"/>
          <w:color w:val="000000"/>
          <w:sz w:val="20"/>
          <w:u w:val="none"/>
        </w:rPr>
        <w:t>a use of $10,548 in cash.</w:t>
      </w:r>
      <w:r>
        <w:rPr>
          <w:rFonts w:ascii="Times New Roman" w:eastAsia="Times New Roman" w:hAnsi="Times New Roman" w:cs="Times New Roman"/>
          <w:b w:val="0"/>
          <w:i w:val="0"/>
          <w:sz w:val="20"/>
        </w:rPr>
        <w:t xml:space="preserve"> Net cash </w:t>
      </w:r>
      <w:r>
        <w:rPr>
          <w:rFonts w:ascii="Times New Roman" w:eastAsia="Times New Roman" w:hAnsi="Times New Roman" w:cs="Times New Roman"/>
          <w:b w:val="0"/>
          <w:i w:val="0"/>
          <w:color w:val="000000"/>
          <w:sz w:val="20"/>
          <w:u w:val="none"/>
        </w:rPr>
        <w:t>provided by operating activities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$10,926</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sz w:val="20"/>
        </w:rPr>
        <w:t xml:space="preserve"> was primarily driven by non-cash adjustments to our net </w:t>
      </w:r>
      <w:r>
        <w:rPr>
          <w:rFonts w:ascii="Times New Roman" w:eastAsia="Times New Roman" w:hAnsi="Times New Roman" w:cs="Times New Roman"/>
          <w:b w:val="0"/>
          <w:i w:val="0"/>
          <w:color w:val="000000"/>
          <w:sz w:val="20"/>
          <w:u w:val="none"/>
        </w:rPr>
        <w:t>loss</w:t>
      </w:r>
      <w:r>
        <w:rPr>
          <w:rFonts w:ascii="Times New Roman" w:eastAsia="Times New Roman" w:hAnsi="Times New Roman" w:cs="Times New Roman"/>
          <w:b w:val="0"/>
          <w:i w:val="0"/>
          <w:sz w:val="20"/>
        </w:rPr>
        <w:t xml:space="preserve"> of approximately </w:t>
      </w:r>
      <w:r>
        <w:rPr>
          <w:rFonts w:ascii="Times New Roman" w:eastAsia="Times New Roman" w:hAnsi="Times New Roman" w:cs="Times New Roman"/>
          <w:b w:val="0"/>
          <w:i w:val="0"/>
          <w:color w:val="000000"/>
          <w:sz w:val="20"/>
          <w:u w:val="none"/>
        </w:rPr>
        <w:t>$27,918</w:t>
      </w:r>
      <w:r>
        <w:rPr>
          <w:rFonts w:ascii="Times New Roman" w:eastAsia="Times New Roman" w:hAnsi="Times New Roman" w:cs="Times New Roman"/>
          <w:b w:val="0"/>
          <w:i w:val="0"/>
          <w:sz w:val="20"/>
        </w:rPr>
        <w:t xml:space="preserve">, primarily due to depreciation, amortization, and share-based compensation. This was offset by changes in operating assets and liabilities, which results in </w:t>
      </w:r>
      <w:r>
        <w:rPr>
          <w:rFonts w:ascii="Times New Roman" w:eastAsia="Times New Roman" w:hAnsi="Times New Roman" w:cs="Times New Roman"/>
          <w:b w:val="0"/>
          <w:i w:val="0"/>
          <w:color w:val="000000"/>
          <w:sz w:val="20"/>
          <w:u w:val="none"/>
        </w:rPr>
        <w:t>a use of $3,109 in cash.</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color w:val="000000"/>
          <w:sz w:val="20"/>
          <w:u w:val="single"/>
        </w:rPr>
        <w:t>Investing Activities</w:t>
      </w:r>
      <w:r>
        <w:rPr>
          <w:rFonts w:ascii="Times New Roman" w:eastAsia="Times New Roman" w:hAnsi="Times New Roman" w:cs="Times New Roman"/>
          <w:b w:val="0"/>
          <w:i w:val="0"/>
          <w:sz w:val="20"/>
        </w:rPr>
        <w:t xml:space="preserve">. Net cash </w:t>
      </w:r>
      <w:r>
        <w:rPr>
          <w:rFonts w:ascii="Times New Roman" w:eastAsia="Times New Roman" w:hAnsi="Times New Roman" w:cs="Times New Roman"/>
          <w:b w:val="0"/>
          <w:i w:val="0"/>
          <w:color w:val="000000"/>
          <w:sz w:val="20"/>
          <w:u w:val="none"/>
        </w:rPr>
        <w:t>used in investing activities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$22,680</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is primarily due to cash paid in asset acquisitions of </w:t>
      </w:r>
      <w:r>
        <w:rPr>
          <w:rFonts w:ascii="Times New Roman" w:eastAsia="Times New Roman" w:hAnsi="Times New Roman" w:cs="Times New Roman"/>
          <w:b w:val="0"/>
          <w:i w:val="0"/>
          <w:color w:val="000000"/>
          <w:sz w:val="20"/>
          <w:u w:val="none"/>
        </w:rPr>
        <w:t>$4,739</w:t>
      </w:r>
      <w:r>
        <w:rPr>
          <w:rFonts w:ascii="Times New Roman" w:eastAsia="Times New Roman" w:hAnsi="Times New Roman" w:cs="Times New Roman"/>
          <w:b w:val="0"/>
          <w:i w:val="0"/>
          <w:sz w:val="20"/>
        </w:rPr>
        <w:t xml:space="preserve">, purchases of available-for-sale securities of </w:t>
      </w:r>
      <w:r>
        <w:rPr>
          <w:rFonts w:ascii="Times New Roman" w:eastAsia="Times New Roman" w:hAnsi="Times New Roman" w:cs="Times New Roman"/>
          <w:b w:val="0"/>
          <w:i w:val="0"/>
          <w:color w:val="000000"/>
          <w:sz w:val="20"/>
          <w:u w:val="none"/>
        </w:rPr>
        <w:t>$25,566</w:t>
      </w:r>
      <w:r>
        <w:rPr>
          <w:rFonts w:ascii="Times New Roman" w:eastAsia="Times New Roman" w:hAnsi="Times New Roman" w:cs="Times New Roman"/>
          <w:b w:val="0"/>
          <w:i w:val="0"/>
          <w:sz w:val="20"/>
        </w:rPr>
        <w:t xml:space="preserve">, and software capitalization costs of </w:t>
      </w:r>
      <w:r>
        <w:rPr>
          <w:rFonts w:ascii="Times New Roman" w:eastAsia="Times New Roman" w:hAnsi="Times New Roman" w:cs="Times New Roman"/>
          <w:b w:val="0"/>
          <w:i w:val="0"/>
          <w:color w:val="000000"/>
          <w:sz w:val="20"/>
          <w:u w:val="none"/>
        </w:rPr>
        <w:t>$10,582</w:t>
      </w:r>
      <w:r>
        <w:rPr>
          <w:rFonts w:ascii="Times New Roman" w:eastAsia="Times New Roman" w:hAnsi="Times New Roman" w:cs="Times New Roman"/>
          <w:b w:val="0"/>
          <w:i w:val="0"/>
          <w:sz w:val="20"/>
        </w:rPr>
        <w:t xml:space="preserve">, partially offset by proceeds from sales and maturities of available-for-sale securities of </w:t>
      </w:r>
      <w:r>
        <w:rPr>
          <w:rFonts w:ascii="Times New Roman" w:eastAsia="Times New Roman" w:hAnsi="Times New Roman" w:cs="Times New Roman"/>
          <w:b w:val="0"/>
          <w:i w:val="0"/>
          <w:color w:val="000000"/>
          <w:sz w:val="20"/>
          <w:u w:val="none"/>
        </w:rPr>
        <w:t>$18,773</w:t>
      </w:r>
      <w:r>
        <w:rPr>
          <w:rFonts w:ascii="Times New Roman" w:eastAsia="Times New Roman" w:hAnsi="Times New Roman" w:cs="Times New Roman"/>
          <w:b w:val="0"/>
          <w:i w:val="0"/>
          <w:sz w:val="20"/>
        </w:rPr>
        <w:t xml:space="preserve">. Net cash </w:t>
      </w:r>
      <w:r>
        <w:rPr>
          <w:rFonts w:ascii="Times New Roman" w:eastAsia="Times New Roman" w:hAnsi="Times New Roman" w:cs="Times New Roman"/>
          <w:b w:val="0"/>
          <w:i w:val="0"/>
          <w:color w:val="000000"/>
          <w:sz w:val="20"/>
          <w:u w:val="none"/>
        </w:rPr>
        <w:t>used in investing activities</w:t>
      </w:r>
      <w:r>
        <w:rPr>
          <w:rFonts w:ascii="Times New Roman" w:eastAsia="Times New Roman" w:hAnsi="Times New Roman" w:cs="Times New Roman"/>
          <w:b w:val="0"/>
          <w:i w:val="0"/>
          <w:sz w:val="20"/>
        </w:rPr>
        <w:t xml:space="preserve"> of </w:t>
      </w:r>
      <w:r>
        <w:rPr>
          <w:rFonts w:ascii="Times New Roman" w:eastAsia="Times New Roman" w:hAnsi="Times New Roman" w:cs="Times New Roman"/>
          <w:b w:val="0"/>
          <w:i w:val="0"/>
          <w:color w:val="000000"/>
          <w:sz w:val="20"/>
          <w:u w:val="none"/>
        </w:rPr>
        <w:t>$78,177</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sz w:val="20"/>
        </w:rPr>
        <w:t xml:space="preserve">, is primarily due to cash paid in business combinations or asset acquisitions of </w:t>
      </w:r>
      <w:r>
        <w:rPr>
          <w:rFonts w:ascii="Times New Roman" w:eastAsia="Times New Roman" w:hAnsi="Times New Roman" w:cs="Times New Roman"/>
          <w:b w:val="0"/>
          <w:i w:val="0"/>
          <w:color w:val="000000"/>
          <w:sz w:val="20"/>
          <w:u w:val="none"/>
        </w:rPr>
        <w:t>$52,467</w:t>
      </w:r>
      <w:r>
        <w:rPr>
          <w:rFonts w:ascii="Times New Roman" w:eastAsia="Times New Roman" w:hAnsi="Times New Roman" w:cs="Times New Roman"/>
          <w:b w:val="0"/>
          <w:i w:val="0"/>
          <w:sz w:val="20"/>
        </w:rPr>
        <w:t xml:space="preserve">, purchases of available-for-sale securities of </w:t>
      </w:r>
      <w:r>
        <w:rPr>
          <w:rFonts w:ascii="Times New Roman" w:eastAsia="Times New Roman" w:hAnsi="Times New Roman" w:cs="Times New Roman"/>
          <w:b w:val="0"/>
          <w:i w:val="0"/>
          <w:color w:val="000000"/>
          <w:sz w:val="20"/>
          <w:u w:val="none"/>
        </w:rPr>
        <w:t>$36,655</w:t>
      </w:r>
      <w:r>
        <w:rPr>
          <w:rFonts w:ascii="Times New Roman" w:eastAsia="Times New Roman" w:hAnsi="Times New Roman" w:cs="Times New Roman"/>
          <w:b w:val="0"/>
          <w:i w:val="0"/>
          <w:sz w:val="20"/>
        </w:rPr>
        <w:t xml:space="preserve">, and software capitalization costs of </w:t>
      </w:r>
      <w:r>
        <w:rPr>
          <w:rFonts w:ascii="Times New Roman" w:eastAsia="Times New Roman" w:hAnsi="Times New Roman" w:cs="Times New Roman"/>
          <w:b w:val="0"/>
          <w:i w:val="0"/>
          <w:color w:val="000000"/>
          <w:sz w:val="20"/>
          <w:u w:val="none"/>
        </w:rPr>
        <w:t>$10,271</w:t>
      </w:r>
      <w:r>
        <w:rPr>
          <w:rFonts w:ascii="Times New Roman" w:eastAsia="Times New Roman" w:hAnsi="Times New Roman" w:cs="Times New Roman"/>
          <w:b w:val="0"/>
          <w:i w:val="0"/>
          <w:sz w:val="20"/>
        </w:rPr>
        <w:t xml:space="preserve">, partially offset by proceeds from sales and maturities of available-for-sale securities of </w:t>
      </w:r>
      <w:r>
        <w:rPr>
          <w:rFonts w:ascii="Times New Roman" w:eastAsia="Times New Roman" w:hAnsi="Times New Roman" w:cs="Times New Roman"/>
          <w:b w:val="0"/>
          <w:i w:val="0"/>
          <w:color w:val="000000"/>
          <w:sz w:val="20"/>
          <w:u w:val="none"/>
        </w:rPr>
        <w:t>$21,738</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color w:val="000000"/>
          <w:sz w:val="20"/>
          <w:u w:val="single"/>
        </w:rPr>
        <w:t>Financing Activities</w:t>
      </w:r>
      <w:r>
        <w:rPr>
          <w:rFonts w:ascii="Times New Roman" w:eastAsia="Times New Roman" w:hAnsi="Times New Roman" w:cs="Times New Roman"/>
          <w:b w:val="0"/>
          <w:i w:val="0"/>
          <w:sz w:val="20"/>
        </w:rPr>
        <w:t xml:space="preserve">. Net cash </w:t>
      </w:r>
      <w:r>
        <w:rPr>
          <w:rFonts w:ascii="Times New Roman" w:eastAsia="Times New Roman" w:hAnsi="Times New Roman" w:cs="Times New Roman"/>
          <w:b w:val="0"/>
          <w:i w:val="0"/>
          <w:color w:val="000000"/>
          <w:sz w:val="20"/>
          <w:u w:val="none"/>
        </w:rPr>
        <w:t>used in financing activities</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$36,311</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which primarily consisted of payments of notes payables of </w:t>
      </w:r>
      <w:r>
        <w:rPr>
          <w:rFonts w:ascii="Times New Roman" w:eastAsia="Times New Roman" w:hAnsi="Times New Roman" w:cs="Times New Roman"/>
          <w:b w:val="0"/>
          <w:i w:val="0"/>
          <w:color w:val="000000"/>
          <w:sz w:val="20"/>
          <w:u w:val="none"/>
        </w:rPr>
        <w:t>$4,554</w:t>
      </w:r>
      <w:r>
        <w:rPr>
          <w:rFonts w:ascii="Times New Roman" w:eastAsia="Times New Roman" w:hAnsi="Times New Roman" w:cs="Times New Roman"/>
          <w:b w:val="0"/>
          <w:i w:val="0"/>
          <w:sz w:val="20"/>
        </w:rPr>
        <w:t xml:space="preserve"> and </w:t>
      </w:r>
      <w:r>
        <w:rPr>
          <w:rFonts w:ascii="Times New Roman" w:eastAsia="Times New Roman" w:hAnsi="Times New Roman" w:cs="Times New Roman"/>
          <w:b w:val="0"/>
          <w:i w:val="0"/>
          <w:color w:val="000000"/>
          <w:sz w:val="20"/>
          <w:u w:val="none"/>
        </w:rPr>
        <w:t>net decrease in client fund obligations of $31,103</w:t>
      </w:r>
      <w:r>
        <w:rPr>
          <w:rFonts w:ascii="Times New Roman" w:eastAsia="Times New Roman" w:hAnsi="Times New Roman" w:cs="Times New Roman"/>
          <w:b w:val="0"/>
          <w:i w:val="0"/>
          <w:sz w:val="20"/>
        </w:rPr>
        <w:t xml:space="preserve">. Net cash </w:t>
      </w:r>
      <w:r>
        <w:rPr>
          <w:rFonts w:ascii="Times New Roman" w:eastAsia="Times New Roman" w:hAnsi="Times New Roman" w:cs="Times New Roman"/>
          <w:b w:val="0"/>
          <w:i w:val="0"/>
          <w:color w:val="000000"/>
          <w:sz w:val="20"/>
          <w:u w:val="none"/>
        </w:rPr>
        <w:t>provided by financing activities</w:t>
      </w:r>
      <w:r>
        <w:rPr>
          <w:rFonts w:ascii="Times New Roman" w:eastAsia="Times New Roman" w:hAnsi="Times New Roman" w:cs="Times New Roman"/>
          <w:b w:val="0"/>
          <w:i w:val="0"/>
          <w:sz w:val="20"/>
        </w:rPr>
        <w:t xml:space="preserve"> was </w:t>
      </w:r>
      <w:r>
        <w:rPr>
          <w:rFonts w:ascii="Times New Roman" w:eastAsia="Times New Roman" w:hAnsi="Times New Roman" w:cs="Times New Roman"/>
          <w:b w:val="0"/>
          <w:i w:val="0"/>
          <w:color w:val="000000"/>
          <w:sz w:val="20"/>
          <w:u w:val="none"/>
        </w:rPr>
        <w:t>$7,006</w:t>
      </w:r>
      <w:r>
        <w:rPr>
          <w:rFonts w:ascii="Times New Roman" w:eastAsia="Times New Roman" w:hAnsi="Times New Roman" w:cs="Times New Roman"/>
          <w:b w:val="0"/>
          <w:i w:val="0"/>
          <w:sz w:val="20"/>
        </w:rPr>
        <w:t xml:space="preserve"> for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2025</w:t>
      </w:r>
      <w:r>
        <w:rPr>
          <w:rFonts w:ascii="Times New Roman" w:eastAsia="Times New Roman" w:hAnsi="Times New Roman" w:cs="Times New Roman"/>
          <w:b w:val="0"/>
          <w:i w:val="0"/>
          <w:sz w:val="20"/>
        </w:rPr>
        <w:t xml:space="preserve">, which primarily consisted of net proceeds of </w:t>
      </w:r>
      <w:r>
        <w:rPr>
          <w:rFonts w:ascii="Times New Roman" w:eastAsia="Times New Roman" w:hAnsi="Times New Roman" w:cs="Times New Roman"/>
          <w:b w:val="0"/>
          <w:i w:val="0"/>
          <w:color w:val="000000"/>
          <w:sz w:val="20"/>
          <w:u w:val="none"/>
        </w:rPr>
        <w:t>$57,982</w:t>
      </w:r>
      <w:r>
        <w:rPr>
          <w:rFonts w:ascii="Times New Roman" w:eastAsia="Times New Roman" w:hAnsi="Times New Roman" w:cs="Times New Roman"/>
          <w:b w:val="0"/>
          <w:i w:val="0"/>
          <w:sz w:val="20"/>
        </w:rPr>
        <w:t xml:space="preserve"> from the MC Credit Agreement (defined below) with MidCap offset by a </w:t>
      </w:r>
      <w:r>
        <w:rPr>
          <w:rFonts w:ascii="Times New Roman" w:eastAsia="Times New Roman" w:hAnsi="Times New Roman" w:cs="Times New Roman"/>
          <w:b w:val="0"/>
          <w:i w:val="0"/>
          <w:color w:val="000000"/>
          <w:sz w:val="20"/>
          <w:u w:val="none"/>
        </w:rPr>
        <w:t>net decrease in client fund obligations of $45,506</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highlight w:val="white"/>
          <w:u w:val="none"/>
        </w:rPr>
        <w:t xml:space="preserve">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we have </w:t>
      </w:r>
      <w:r>
        <w:rPr>
          <w:rFonts w:ascii="Times New Roman" w:eastAsia="Times New Roman" w:hAnsi="Times New Roman" w:cs="Times New Roman"/>
          <w:b w:val="0"/>
          <w:i w:val="0"/>
          <w:color w:val="000000"/>
          <w:sz w:val="20"/>
          <w:u w:val="none"/>
        </w:rPr>
        <w:t>seven</w:t>
      </w:r>
      <w:r>
        <w:rPr>
          <w:rFonts w:ascii="Times New Roman" w:eastAsia="Times New Roman" w:hAnsi="Times New Roman" w:cs="Times New Roman"/>
          <w:b w:val="0"/>
          <w:i w:val="0"/>
          <w:sz w:val="20"/>
        </w:rPr>
        <w:t xml:space="preserve"> subordinated promissory notes outstanding, all of which related to acquisitions that occurred during the </w:t>
      </w:r>
      <w:r>
        <w:rPr>
          <w:rFonts w:ascii="Times New Roman" w:eastAsia="Times New Roman" w:hAnsi="Times New Roman" w:cs="Times New Roman"/>
          <w:b w:val="0"/>
          <w:i w:val="0"/>
          <w:color w:val="000000"/>
          <w:sz w:val="20"/>
          <w:u w:val="none"/>
        </w:rPr>
        <w:t>nine months ended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and periods prior to January 1, 2025, with a combined outstanding principal balance of </w:t>
      </w:r>
      <w:r>
        <w:rPr>
          <w:rFonts w:ascii="Times New Roman" w:eastAsia="Times New Roman" w:hAnsi="Times New Roman" w:cs="Times New Roman"/>
          <w:b w:val="0"/>
          <w:i w:val="0"/>
          <w:color w:val="000000"/>
          <w:sz w:val="20"/>
          <w:u w:val="none"/>
        </w:rPr>
        <w:t>$6,811</w:t>
      </w:r>
      <w:r>
        <w:rPr>
          <w:rFonts w:ascii="Times New Roman" w:eastAsia="Times New Roman" w:hAnsi="Times New Roman" w:cs="Times New Roman"/>
          <w:b w:val="0"/>
          <w:i w:val="0"/>
          <w:sz w:val="20"/>
        </w:rPr>
        <w:t xml:space="preserve"> and maturity dates ranging from </w:t>
      </w:r>
      <w:r>
        <w:rPr>
          <w:rFonts w:ascii="Times New Roman" w:eastAsia="Times New Roman" w:hAnsi="Times New Roman" w:cs="Times New Roman"/>
          <w:b w:val="0"/>
          <w:i w:val="0"/>
          <w:color w:val="000000"/>
          <w:sz w:val="20"/>
          <w:u w:val="none"/>
        </w:rPr>
        <w:t>November 1, 2026</w:t>
      </w:r>
      <w:r>
        <w:rPr>
          <w:rFonts w:ascii="Times New Roman" w:eastAsia="Times New Roman" w:hAnsi="Times New Roman" w:cs="Times New Roman"/>
          <w:b w:val="0"/>
          <w:i w:val="0"/>
          <w:sz w:val="20"/>
        </w:rPr>
        <w:t xml:space="preserve"> to </w:t>
      </w:r>
      <w:r>
        <w:rPr>
          <w:rFonts w:ascii="Times New Roman" w:eastAsia="Times New Roman" w:hAnsi="Times New Roman" w:cs="Times New Roman"/>
          <w:b w:val="0"/>
          <w:i w:val="0"/>
          <w:color w:val="000000"/>
          <w:sz w:val="20"/>
          <w:u w:val="none"/>
        </w:rPr>
        <w:t>July 1, 2029</w:t>
      </w:r>
      <w:r>
        <w:rPr>
          <w:rFonts w:ascii="Times New Roman" w:eastAsia="Times New Roman" w:hAnsi="Times New Roman" w:cs="Times New Roman"/>
          <w:b w:val="0"/>
          <w:i w:val="0"/>
          <w:sz w:val="20"/>
        </w:rPr>
        <w:t>.</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On October 15, 2026, we entered into a Credit Agreement (the “Credit Agreement”) with MUFG Bank, LTD (“MUFG”), as administrative agent, and the lenders from time to time party thereto (such lenders collectively with MUFG, the “Lenders”).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Under the Credit Agreement, the Company may borrow up to $115 million from the Lenders (the “Senior Credit Facility”), comprising a (i) $85.0 million (the “Initial Loan Balance”) term loan facility, all of which was drawn by the Company on October 15, 2026 (the “Closing Date”), (ii) $10.0 million five-year revolving credit facility (the “Revolving Facility”), and (iii) $20.0 million delayed-draw term loan facility (the “DDTL Facility”). After the Closing Date, the Company is permitted to incur (a) additional term loans under a new term facility to be included in the Senior Credit Facility and/or (b) increases in the Revolving Credit Facility, in an aggregate principal amount not to exceed $30 million, subject to the terms and conditions set forth in the Credit Agreement.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Subject to the conditions set forth in the Credit Agreement, the Revolving Facility is available through October 15, 2031 and the DDTL Facility is available through October 15, 2028.</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 will begin to make principal payments on the Initial Loan Balance in quarterly installments beginning on April 1, 2027, such that 2.5% of the Initial Loan Balance will be paid in the first year, 5.0% of the Initial Loan Balance will be paid in each of the second and third year, and 7.5% of the Initial Loan Balance will be paid in each of the fourth and fifth year, with the last payment being made on October 1, 2031, and the remaining Initial Loan Balance paid on the October 15, 2031 (the “Maturity Date”). The Company may, upon notice to MUFG pursuant to the Credit Agreement, voluntarily prepay amounts loaned under the Credit Agreement in whole or in part without premium or penalty, subject to certain conditions set forth in the Credit Agreement.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interest rates that the Company will be charged under the Senior Credit Facility is generally equal to the Term SOFR (as defined in the Credit Agreement’) plus the Applicable Rate (as defined in the Credit Agreement) or, at the the Company’s option, the Base Rate (as defined in the Credit Agreement ) plus the Applicable Rate. The Applicable Rate generally adjusts quarterly based on the Company’s Consolidated Net Leverage Ratio. With respect to Term SOFR loans, the Borrower may select interest periods of one, three or six months. For the Initial Loan Balance, the Company selected a three month interest period for Term SOFR and the interest rate to be charged during the initial three month interest period is 7.04%, calculated on the basis of a year of 360 days and actual days elapsed, reflecting a rate based on Term SOFR plus three percent (3.00%), as provided in the Credit Agreement.</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 is subject to customary events of default as described in the Credit Agreement, including insolvency of the Company, breaches of certain covenants and representations and warranties, and failures to pay. In such event, and for so long as it continues, the outstanding loan balance will bear interest at a rate per annum, subject to certain exceptions set forth in the Credit Agreement, (i) equal to two percent (2.00%) in excess of the rate otherwise applicable thereto, and (ii) with respect to any loan for which a rate is not specified or available, a rate per annum equal to the Base Rate (as defined in the Credit Agreement), plus (a) the Applicable Rate for revolving loans that are Base Rate Loans (as defined in the Credit Agreement), plus (b) two percent (2.00%), in each case, to the fullest extent permitted by applicable law.</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Under the Credit Agreement, the Company covenants to maintain a (i) Consolidated Net Leverage Ratio (as defined in the Credit Agreement), as tested quarterly, no greater than 3.50 to 1.00 (subject to certain conditions set forth therein), and (ii) Consolidated Fixed Charge Coverage Ratio (as defined in the Credit Agreement), as tested quarterly, of not less than 1.25 to 1.00. The Senior Credit Facility is secured by substantially all of the assets of the Company.</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 connection with the Credit Agreement, we incurred $1,226 of origination, legal, and other fees that represent debt financing costs to be deferred and amortized over the duration of the Loan Agreement. As a result, net proceeds of the Loan Agreement were $83,774.</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color w:val="000000"/>
          <w:sz w:val="20"/>
          <w:highlight w:val="white"/>
          <w:u w:val="none"/>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highlight w:val="white"/>
          <w:u w:val="none"/>
        </w:rPr>
        <w:t>In connection with the entry into the Credit Agreement, we terminated the Credit, Security and Guaranty Agreement (the “MC Credit Agreement”), by and among the Company and MidCap Financial Trust (“MidCap”) and the lenders thereto and the secured promissory note (the “Note”) with MidCap, evidencing its obligations under the MC Credit Agreement. In connection with the extinguishment, the Company paid to MidCap for the benefit of lenders under the MC Credit Agreement an aggregate amount of $62,646 (the “Payoff Amount”) in full payment of its outstanding obligations under the MC Credit Agreement and Note. The Payoff Amount represented approximately $60,208 outstanding of principal and interest on the unpaid principal balance and $2,438 of prepayment and termination fees and other expenses due to MidCap.</w:t>
      </w: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color w:val="000000"/>
          <w:sz w:val="20"/>
          <w:u w:val="single"/>
        </w:rPr>
        <w:t>Sources of Liquidity</w:t>
      </w:r>
      <w:r>
        <w:rPr>
          <w:rFonts w:ascii="Times New Roman" w:eastAsia="Times New Roman" w:hAnsi="Times New Roman" w:cs="Times New Roman"/>
          <w:b w:val="0"/>
          <w:i w:val="0"/>
          <w:sz w:val="20"/>
        </w:rPr>
        <w:t xml:space="preserve">.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our principal sources of liquidity consisted of </w:t>
      </w:r>
      <w:r>
        <w:rPr>
          <w:rFonts w:ascii="Times New Roman" w:eastAsia="Times New Roman" w:hAnsi="Times New Roman" w:cs="Times New Roman"/>
          <w:b w:val="0"/>
          <w:i w:val="0"/>
          <w:color w:val="000000"/>
          <w:sz w:val="20"/>
          <w:u w:val="none"/>
        </w:rPr>
        <w:t>$16,780</w:t>
      </w:r>
      <w:r>
        <w:rPr>
          <w:rFonts w:ascii="Times New Roman" w:eastAsia="Times New Roman" w:hAnsi="Times New Roman" w:cs="Times New Roman"/>
          <w:b w:val="0"/>
          <w:i w:val="0"/>
          <w:sz w:val="20"/>
        </w:rPr>
        <w:t xml:space="preserve"> of cash and cash equivalents generated from operations of our business, which we expect to be our principal source of liquidity over the next twelve months. As of </w:t>
      </w:r>
      <w:r>
        <w:rPr>
          <w:rFonts w:ascii="Times New Roman" w:eastAsia="Times New Roman" w:hAnsi="Times New Roman" w:cs="Times New Roman"/>
          <w:b w:val="0"/>
          <w:i w:val="0"/>
          <w:color w:val="000000"/>
          <w:sz w:val="20"/>
          <w:u w:val="none"/>
        </w:rPr>
        <w:t>October 29, 2026</w:t>
      </w:r>
      <w:r>
        <w:rPr>
          <w:rFonts w:ascii="Times New Roman" w:eastAsia="Times New Roman" w:hAnsi="Times New Roman" w:cs="Times New Roman"/>
          <w:b w:val="0"/>
          <w:i w:val="0"/>
          <w:sz w:val="20"/>
        </w:rPr>
        <w:t xml:space="preserve">, we have access to the $10.0 million Revolving Facility, and the $20.0 million DDTL Facility. Additionally, we have access to an “at the market offering” program entered in October 31, 2024, under which we may offer and sell up to $25,000 of newly issued shares of common stock.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there are $25,000 of shares of common stock available for issuance under this program.</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We cannot ensure that we can grow our cash balances or limit our cash consumption and thus maintain sufficient cash balances for our planned operations or future acquisitions; however, we do believe that we have sufficient liquidity to support our business operations for at least the next twelve months. Future business demands may lead to cash utilization at levels greater than recently experienced or expected. We may need to raise additional capital in the future in order to grow our existing software operations and to seek additional strategic acquisitions in the near future. Further, we cannot ensure that we will be able to raise additional capital on acceptable terms, or at all, or at the time we need it.</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16"/>
        </w:rPr>
        <w:sectPr>
          <w:type w:val="continuous"/>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26" w:name="Section27"/>
      <w:bookmarkEnd w:id="26"/>
    </w:p>
    <w:p>
      <w:pPr>
        <w:keepNext/>
        <w:keepLines/>
        <w:pageBreakBefore w:val="0"/>
        <w:widowControl w:val="0"/>
        <w:numPr>
          <w:ilvl w:val="0"/>
          <w:numId w:val="0"/>
        </w:numPr>
        <w:spacing w:before="0" w:after="0" w:line="288" w:lineRule="auto"/>
        <w:ind w:left="0" w:right="0" w:firstLine="0"/>
        <w:jc w:val="both"/>
        <w:outlineLvl w:val="2"/>
        <w:rPr>
          <w:rFonts w:ascii="Times New Roman" w:eastAsia="Times New Roman" w:hAnsi="Times New Roman" w:cs="Times New Roman"/>
          <w:b/>
          <w:i w:val="0"/>
          <w:sz w:val="20"/>
        </w:rPr>
      </w:pPr>
      <w:r>
        <w:rPr>
          <w:rFonts w:ascii="Times New Roman" w:eastAsia="Times New Roman" w:hAnsi="Times New Roman" w:cs="Times New Roman"/>
          <w:b/>
          <w:i w:val="0"/>
          <w:sz w:val="20"/>
        </w:rPr>
        <w:t>CRITICAL ACCOUNTING POLICIES AND ESTIMATES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 preparation of the Condensed Consolidated Financial Statements in conformity with U.S. generally accepted accounting principles requires management to make estimates and assumptions that affect the reported amounts of the assets and liabilities at the date of the financial statements and the reported amounts of revenues and expenses during the reporting period. These estimates are subjective in nature and involve judgments that affect the amounts reported. The Condensed Consolidated Financial Statements and the Notes to the Condensed Consolidated Financial Statements in Item 1 of this Form 10-Q, and the Notes to the Consolidated Financial Statements in Part II, Item 8 of our Annual Report on Form 10-K for the year ended December 31, 2025, describe the significant accounting policies and methods used in the preparation of our consolidated financial statements. There have been no material changes to our critical accounting estimates included in our Annual Report on Form 10-K for the year ended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sz w:val="20"/>
        </w:rPr>
        <w:t>.</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1"/>
        <w:rPr>
          <w:rFonts w:ascii="Times New Roman" w:eastAsia="Times New Roman" w:hAnsi="Times New Roman" w:cs="Times New Roman"/>
          <w:b/>
          <w:i w:val="0"/>
          <w:sz w:val="20"/>
        </w:rPr>
      </w:pPr>
      <w:bookmarkStart w:id="27" w:name="Section28"/>
      <w:bookmarkEnd w:id="27"/>
      <w:r>
        <w:rPr>
          <w:rFonts w:ascii="Times New Roman" w:eastAsia="Times New Roman" w:hAnsi="Times New Roman" w:cs="Times New Roman"/>
          <w:b/>
          <w:i w:val="0"/>
          <w:sz w:val="20"/>
        </w:rPr>
        <w:t>ITEM 3. QUANTITATIVE AND QUALITATIVE DISCLOSURES ABOUT MARKET RISK</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There have been no material changes to our exposure from market risks from those disclosed in the Company’s </w:t>
      </w:r>
      <w:r>
        <w:rPr>
          <w:rFonts w:ascii="Times New Roman" w:eastAsia="Times New Roman" w:hAnsi="Times New Roman" w:cs="Times New Roman"/>
          <w:b w:val="0"/>
          <w:i w:val="0"/>
          <w:color w:val="000000"/>
          <w:sz w:val="20"/>
          <w:u w:val="none"/>
        </w:rPr>
        <w:t>2025</w:t>
      </w:r>
      <w:r>
        <w:rPr>
          <w:rFonts w:ascii="Times New Roman" w:eastAsia="Times New Roman" w:hAnsi="Times New Roman" w:cs="Times New Roman"/>
          <w:b w:val="0"/>
          <w:i w:val="0"/>
          <w:sz w:val="20"/>
        </w:rPr>
        <w:t xml:space="preserve"> Annual Report on Form 10-K for the year ended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sz w:val="20"/>
        </w:rPr>
        <w:t>.</w:t>
      </w:r>
    </w:p>
    <w:p>
      <w:pPr>
        <w:keepNext/>
        <w:keepLines/>
        <w:pageBreakBefore w:val="0"/>
        <w:widowControl w:val="0"/>
        <w:numPr>
          <w:ilvl w:val="0"/>
          <w:numId w:val="0"/>
        </w:numPr>
        <w:spacing w:before="0" w:after="0" w:line="288" w:lineRule="auto"/>
        <w:ind w:left="0" w:right="0" w:firstLine="720"/>
        <w:jc w:val="both"/>
        <w:outlineLvl w:val="9"/>
        <w:sectPr>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28" w:name="Section29"/>
      <w:bookmarkEnd w:id="28"/>
    </w:p>
    <w:p>
      <w:pPr>
        <w:keepNext/>
        <w:keepLines/>
        <w:pageBreakBefore w:val="0"/>
        <w:widowControl w:val="0"/>
        <w:numPr>
          <w:ilvl w:val="0"/>
          <w:numId w:val="0"/>
        </w:numPr>
        <w:spacing w:before="0" w:after="0" w:line="288" w:lineRule="auto"/>
        <w:ind w:left="0" w:right="0" w:firstLine="0"/>
        <w:jc w:val="both"/>
        <w:outlineLvl w:val="1"/>
        <w:rPr>
          <w:rFonts w:ascii="Times New Roman" w:eastAsia="Times New Roman" w:hAnsi="Times New Roman" w:cs="Times New Roman"/>
          <w:b/>
          <w:i w:val="0"/>
          <w:sz w:val="20"/>
        </w:rPr>
      </w:pPr>
      <w:r>
        <w:rPr>
          <w:rFonts w:ascii="Times New Roman" w:eastAsia="Times New Roman" w:hAnsi="Times New Roman" w:cs="Times New Roman"/>
          <w:b/>
          <w:i w:val="0"/>
          <w:sz w:val="20"/>
        </w:rPr>
        <w:t>ITEM 4. CONTROLS AND PROCEDURES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Evaluation of Disclosure Control and Procedures</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sz w:val="20"/>
        </w:rPr>
        <w:t xml:space="preserve">The Company maintains disclosure controls and procedures as defined in Rules 13a-15(e) and 15d-15(e) under the Exchange Act that are designed to ensure that information required to be disclosed in the reports filed or submitted by Asure to the SEC is recorded, processed, summarized, and reported, within the time periods specified by the SEC’s rules and forms, and is accumulated and communicated to management including the Chief Executive Officer and Chief Financial Officer, as appropriate, to allow timely decisions regarding required disclosure. The Company’s management, including the Chief Executive Officer and Chief Financial Officer, performed an evaluation to conclude with reasonable assurance that Asure’s disclosure controls and procedures were designed and operating effectively to report the information each company is required to disclose in the reports they file with the SEC on a timely basis. Based on that evaluation, the Chief Executive Officer and the Chief Financial Officer of Asure have concluded that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disclosure controls and procedures were effective.</w:t>
      </w: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Change in Internal Controls over Financial Reporting</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sz w:val="20"/>
        </w:rPr>
        <w:t xml:space="preserve">There were no changes in our internal control over financial reporting (as defined in Rules 13a-15(f) or 15d-15(f) of the Exchange Act) that occurred during the period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that have materially affected, or are reasonably likely to materially affect, our internal control over financial reporting.</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855"/>
        <w:jc w:val="center"/>
        <w:outlineLvl w:val="0"/>
        <w:rPr>
          <w:rFonts w:ascii="Times New Roman" w:eastAsia="Times New Roman" w:hAnsi="Times New Roman" w:cs="Times New Roman"/>
          <w:b/>
          <w:i w:val="0"/>
          <w:sz w:val="20"/>
        </w:rPr>
      </w:pPr>
      <w:bookmarkStart w:id="29" w:name="Section30"/>
      <w:bookmarkEnd w:id="29"/>
      <w:r>
        <w:rPr>
          <w:rFonts w:ascii="Times New Roman" w:eastAsia="Times New Roman" w:hAnsi="Times New Roman" w:cs="Times New Roman"/>
          <w:b/>
          <w:i w:val="0"/>
          <w:sz w:val="20"/>
        </w:rPr>
        <w:t>PART II – OTHER INFORMATION</w:t>
      </w:r>
    </w:p>
    <w:p>
      <w:pPr>
        <w:keepNext w:val="0"/>
        <w:keepLines/>
        <w:pageBreakBefore w:val="0"/>
        <w:widowControl w:val="0"/>
        <w:numPr>
          <w:ilvl w:val="0"/>
          <w:numId w:val="0"/>
        </w:numPr>
        <w:spacing w:before="0" w:after="0" w:line="288" w:lineRule="auto"/>
        <w:ind w:left="0" w:right="0" w:firstLine="855"/>
        <w:jc w:val="center"/>
        <w:outlineLvl w:val="0"/>
        <w:sectPr>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bookmarkStart w:id="30" w:name="Section31"/>
      <w:bookmarkEnd w:id="30"/>
    </w:p>
    <w:p>
      <w:pPr>
        <w:keepNext/>
        <w:keepLines/>
        <w:pageBreakBefore w:val="0"/>
        <w:widowControl w:val="0"/>
        <w:numPr>
          <w:ilvl w:val="0"/>
          <w:numId w:val="0"/>
        </w:numPr>
        <w:spacing w:before="0" w:after="0" w:line="288" w:lineRule="auto"/>
        <w:ind w:left="0" w:right="0" w:firstLine="0"/>
        <w:jc w:val="left"/>
        <w:outlineLvl w:val="1"/>
        <w:rPr>
          <w:rFonts w:ascii="Times New Roman" w:eastAsia="Times New Roman" w:hAnsi="Times New Roman" w:cs="Times New Roman"/>
          <w:b/>
          <w:i w:val="0"/>
          <w:sz w:val="20"/>
        </w:rPr>
      </w:pPr>
      <w:r>
        <w:rPr>
          <w:rFonts w:ascii="Times New Roman" w:eastAsia="Times New Roman" w:hAnsi="Times New Roman" w:cs="Times New Roman"/>
          <w:b/>
          <w:i w:val="0"/>
          <w:sz w:val="20"/>
        </w:rPr>
        <w:t>ITEM 1. LEGAL PROCEEDINGS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u w:val="single"/>
        </w:rPr>
      </w:pPr>
      <w:r>
        <w:rPr>
          <w:rFonts w:ascii="Times New Roman" w:eastAsia="Times New Roman" w:hAnsi="Times New Roman" w:cs="Times New Roman"/>
          <w:b w:val="0"/>
          <w:i w:val="0"/>
          <w:sz w:val="20"/>
        </w:rPr>
        <w:t xml:space="preserve">We have been, and in the future may be, the defendant or plaintiff in various actions arising in the normal course of business. As of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we were not a party to any material legal proceedings. </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31" w:name="Section32"/>
      <w:bookmarkEnd w:id="31"/>
    </w:p>
    <w:p>
      <w:pPr>
        <w:keepNext/>
        <w:keepLines/>
        <w:pageBreakBefore w:val="0"/>
        <w:widowControl w:val="0"/>
        <w:numPr>
          <w:ilvl w:val="0"/>
          <w:numId w:val="0"/>
        </w:numPr>
        <w:spacing w:before="0" w:after="0" w:line="288" w:lineRule="auto"/>
        <w:ind w:left="0" w:right="0" w:firstLine="0"/>
        <w:jc w:val="both"/>
        <w:outlineLvl w:val="1"/>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ITEM 1A. RISK FACTORS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There have been no material changes from the risk factors previously disclosed in the Company’s Annual Report on Form 10-K for the year ended </w:t>
      </w:r>
      <w:r>
        <w:rPr>
          <w:rFonts w:ascii="Times New Roman" w:eastAsia="Times New Roman" w:hAnsi="Times New Roman" w:cs="Times New Roman"/>
          <w:b w:val="0"/>
          <w:i w:val="0"/>
          <w:color w:val="000000"/>
          <w:sz w:val="20"/>
          <w:u w:val="none"/>
        </w:rPr>
        <w:t>December 31, 2025</w:t>
      </w:r>
      <w:r>
        <w:rPr>
          <w:rFonts w:ascii="Times New Roman" w:eastAsia="Times New Roman" w:hAnsi="Times New Roman" w:cs="Times New Roman"/>
          <w:b w:val="0"/>
          <w:i w:val="0"/>
          <w:sz w:val="20"/>
        </w:rPr>
        <w:t xml:space="preserve">, filed with the SEC on </w:t>
      </w:r>
      <w:r>
        <w:rPr>
          <w:rFonts w:ascii="Times New Roman" w:eastAsia="Times New Roman" w:hAnsi="Times New Roman" w:cs="Times New Roman"/>
          <w:b w:val="0"/>
          <w:i w:val="0"/>
          <w:color w:val="000000"/>
          <w:sz w:val="20"/>
          <w:u w:val="none"/>
        </w:rPr>
        <w:t>February 26, 2026</w:t>
      </w:r>
      <w:r>
        <w:rPr>
          <w:rFonts w:ascii="Times New Roman" w:eastAsia="Times New Roman" w:hAnsi="Times New Roman" w:cs="Times New Roman"/>
          <w:b w:val="0"/>
          <w:i w:val="0"/>
          <w:sz w:val="20"/>
        </w:rPr>
        <w:t>, and investors are encouraged to review these risk factors prior to making an investment in the Company.</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color w:val="000000"/>
          <w:sz w:val="20"/>
          <w:highlight w:val="white"/>
          <w:u w:val="none"/>
        </w:rPr>
      </w:pPr>
      <w:bookmarkStart w:id="32" w:name="Section33"/>
      <w:bookmarkEnd w:id="32"/>
    </w:p>
    <w:p>
      <w:pPr>
        <w:keepNext w:val="0"/>
        <w:keepLines/>
        <w:pageBreakBefore w:val="0"/>
        <w:widowControl w:val="0"/>
        <w:numPr>
          <w:ilvl w:val="0"/>
          <w:numId w:val="0"/>
        </w:numPr>
        <w:spacing w:before="0" w:after="0" w:line="288" w:lineRule="auto"/>
        <w:ind w:left="0" w:right="0" w:firstLine="0"/>
        <w:jc w:val="both"/>
        <w:outlineLvl w:val="1"/>
        <w:rPr>
          <w:rFonts w:ascii="Times New Roman" w:eastAsia="Times New Roman" w:hAnsi="Times New Roman" w:cs="Times New Roman"/>
          <w:b/>
          <w:i w:val="0"/>
          <w:color w:val="000000"/>
          <w:sz w:val="20"/>
          <w:highlight w:val="white"/>
          <w:u w:val="none"/>
        </w:rPr>
      </w:pPr>
      <w:r>
        <w:rPr>
          <w:rFonts w:ascii="Times New Roman" w:eastAsia="Times New Roman" w:hAnsi="Times New Roman" w:cs="Times New Roman"/>
          <w:b/>
          <w:i w:val="0"/>
          <w:color w:val="000000"/>
          <w:sz w:val="20"/>
          <w:highlight w:val="white"/>
          <w:u w:val="none"/>
        </w:rPr>
        <w:t>ITEM 2. UNREGISTERED SALES OF EQUITY SECURITIES AND USE OF PROCEEDS</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color w:val="000000"/>
          <w:sz w:val="20"/>
          <w:highlight w:val="white"/>
          <w:u w:val="none"/>
        </w:rPr>
      </w:pPr>
      <w:r>
        <w:rPr>
          <w:rFonts w:ascii="Times New Roman" w:eastAsia="Times New Roman" w:hAnsi="Times New Roman" w:cs="Times New Roman"/>
          <w:b w:val="0"/>
          <w:i w:val="0"/>
          <w:color w:val="000000"/>
          <w:sz w:val="20"/>
          <w:highlight w:val="white"/>
          <w:u w:val="none"/>
        </w:rPr>
        <w:t>None.</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33" w:name="Section34"/>
      <w:bookmarkEnd w:id="33"/>
    </w:p>
    <w:p>
      <w:pPr>
        <w:keepNext/>
        <w:keepLines/>
        <w:pageBreakBefore w:val="0"/>
        <w:widowControl w:val="0"/>
        <w:numPr>
          <w:ilvl w:val="0"/>
          <w:numId w:val="0"/>
        </w:numPr>
        <w:spacing w:before="0" w:after="0" w:line="288" w:lineRule="auto"/>
        <w:ind w:left="0" w:right="0" w:firstLine="0"/>
        <w:jc w:val="both"/>
        <w:outlineLvl w:val="1"/>
        <w:rPr>
          <w:rFonts w:ascii="Times New Roman" w:eastAsia="Times New Roman" w:hAnsi="Times New Roman" w:cs="Times New Roman"/>
          <w:b/>
          <w:i w:val="0"/>
          <w:sz w:val="20"/>
        </w:rPr>
      </w:pPr>
      <w:r>
        <w:rPr>
          <w:rFonts w:ascii="Times New Roman" w:eastAsia="Times New Roman" w:hAnsi="Times New Roman" w:cs="Times New Roman"/>
          <w:b/>
          <w:i w:val="0"/>
          <w:sz w:val="20"/>
        </w:rPr>
        <w:t>ITEM 3. DEFAULTS UPON SENIOR SECURITIES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None.</w:t>
      </w: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bookmarkStart w:id="34" w:name="Section35"/>
      <w:bookmarkEnd w:id="34"/>
    </w:p>
    <w:p>
      <w:pPr>
        <w:keepNext/>
        <w:keepLines/>
        <w:pageBreakBefore w:val="0"/>
        <w:widowControl w:val="0"/>
        <w:numPr>
          <w:ilvl w:val="0"/>
          <w:numId w:val="0"/>
        </w:numPr>
        <w:spacing w:before="0" w:after="0" w:line="288" w:lineRule="auto"/>
        <w:ind w:left="0" w:right="0" w:firstLine="0"/>
        <w:jc w:val="both"/>
        <w:outlineLvl w:val="1"/>
        <w:rPr>
          <w:rFonts w:ascii="Times New Roman" w:eastAsia="Times New Roman" w:hAnsi="Times New Roman" w:cs="Times New Roman"/>
          <w:b/>
          <w:i w:val="0"/>
          <w:sz w:val="20"/>
        </w:rPr>
      </w:pPr>
      <w:r>
        <w:rPr>
          <w:rFonts w:ascii="Times New Roman" w:eastAsia="Times New Roman" w:hAnsi="Times New Roman" w:cs="Times New Roman"/>
          <w:b/>
          <w:i w:val="0"/>
          <w:sz w:val="20"/>
        </w:rPr>
        <w:t>ITEM 4. MINE SAFETY DISCLOSURES</w:t>
      </w:r>
    </w:p>
    <w:p>
      <w:pPr>
        <w:keepNext/>
        <w:keepLines/>
        <w:pageBreakBefore w:val="0"/>
        <w:widowControl w:val="0"/>
        <w:numPr>
          <w:ilvl w:val="0"/>
          <w:numId w:val="0"/>
        </w:numPr>
        <w:spacing w:before="0" w:after="0" w:line="288" w:lineRule="auto"/>
        <w:ind w:left="0" w:right="0" w:firstLine="0"/>
        <w:jc w:val="both"/>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None.</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both"/>
        <w:outlineLvl w:val="1"/>
        <w:rPr>
          <w:rFonts w:ascii="Times New Roman" w:eastAsia="Times New Roman" w:hAnsi="Times New Roman" w:cs="Times New Roman"/>
          <w:b/>
          <w:i w:val="0"/>
          <w:sz w:val="20"/>
        </w:rPr>
      </w:pPr>
      <w:bookmarkStart w:id="35" w:name="Section36"/>
      <w:bookmarkEnd w:id="35"/>
      <w:r>
        <w:rPr>
          <w:rFonts w:ascii="Times New Roman" w:eastAsia="Times New Roman" w:hAnsi="Times New Roman" w:cs="Times New Roman"/>
          <w:b/>
          <w:i w:val="0"/>
          <w:sz w:val="20"/>
        </w:rPr>
        <w:t>ITEM 5. OTHER INFORMATION</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p>
      <w:pPr>
        <w:keepNext/>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During the </w:t>
      </w:r>
      <w:r>
        <w:rPr>
          <w:rFonts w:ascii="Times New Roman" w:eastAsia="Times New Roman" w:hAnsi="Times New Roman" w:cs="Times New Roman"/>
          <w:b w:val="0"/>
          <w:i w:val="0"/>
          <w:color w:val="000000"/>
          <w:sz w:val="20"/>
          <w:u w:val="none"/>
        </w:rPr>
        <w:t>three months ended September 30, 2026</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color w:val="000000"/>
          <w:sz w:val="20"/>
          <w:u w:val="none"/>
        </w:rPr>
        <w:t>none of our directors or officers have entered into, amended, or terminated, a 10b5-1 trading plan.</w:t>
      </w:r>
      <w:r>
        <w:rPr>
          <w:rFonts w:ascii="Times New Roman" w:eastAsia="Times New Roman" w:hAnsi="Times New Roman" w:cs="Times New Roman"/>
          <w:b w:val="0"/>
          <w:i w:val="0"/>
          <w:sz w:val="20"/>
        </w:rPr>
        <w:t xml:space="preserve"> </w:t>
      </w:r>
    </w:p>
    <w:p>
      <w:pPr>
        <w:keepNext/>
        <w:keepLines/>
        <w:pageBreakBefore w:val="0"/>
        <w:widowControl w:val="0"/>
        <w:numPr>
          <w:ilvl w:val="0"/>
          <w:numId w:val="0"/>
        </w:numPr>
        <w:spacing w:before="0" w:after="0" w:line="288" w:lineRule="auto"/>
        <w:ind w:left="0" w:right="0" w:firstLine="720"/>
        <w:jc w:val="both"/>
        <w:outlineLvl w:val="9"/>
        <w:sectPr>
          <w:type w:val="continuous"/>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left"/>
        <w:outlineLvl w:val="1"/>
        <w:rPr>
          <w:rFonts w:ascii="Times New Roman" w:eastAsia="Times New Roman" w:hAnsi="Times New Roman" w:cs="Times New Roman"/>
          <w:b/>
          <w:i w:val="0"/>
          <w:sz w:val="20"/>
        </w:rPr>
      </w:pPr>
      <w:bookmarkStart w:id="36" w:name="Section37"/>
      <w:bookmarkEnd w:id="36"/>
      <w:r>
        <w:rPr>
          <w:rFonts w:ascii="Times New Roman" w:eastAsia="Times New Roman" w:hAnsi="Times New Roman" w:cs="Times New Roman"/>
          <w:b/>
          <w:i w:val="0"/>
          <w:sz w:val="20"/>
        </w:rPr>
        <w:t>ITEM 6. EXHIBITS, FINANCIAL STATEMENT SCHEDULES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i w:val="0"/>
          <w:sz w:val="20"/>
        </w:rPr>
      </w:pPr>
    </w:p>
    <w:p>
      <w:pPr>
        <w:keepNext/>
        <w:keepLines/>
        <w:pageBreakBefore w:val="0"/>
        <w:widowControl w:val="0"/>
        <w:numPr>
          <w:ilvl w:val="0"/>
          <w:numId w:val="19"/>
        </w:numPr>
        <w:spacing w:before="0" w:after="0" w:line="288" w:lineRule="auto"/>
        <w:ind w:left="720" w:right="0" w:hanging="36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following documents are filed as a part of this Quarterly Report on Form 10-Q:</w:t>
      </w: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20"/>
        </w:numPr>
        <w:spacing w:before="0" w:after="0" w:line="288" w:lineRule="auto"/>
        <w:ind w:left="1440" w:right="0" w:hanging="36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Financial Statements:</w:t>
      </w:r>
    </w:p>
    <w:p>
      <w:pPr>
        <w:keepNext w:val="0"/>
        <w:keepLines/>
        <w:pageBreakBefore w:val="0"/>
        <w:widowControl w:val="0"/>
        <w:numPr>
          <w:ilvl w:val="0"/>
          <w:numId w:val="0"/>
        </w:numPr>
        <w:spacing w:before="0" w:after="0" w:line="288" w:lineRule="auto"/>
        <w:ind w:left="72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144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Financial Statements required by this item are submitted in Part I, Item 1 of this report.</w:t>
      </w:r>
    </w:p>
    <w:p>
      <w:pPr>
        <w:keepNext w:val="0"/>
        <w:keepLines/>
        <w:pageBreakBefore w:val="0"/>
        <w:widowControl w:val="0"/>
        <w:numPr>
          <w:ilvl w:val="0"/>
          <w:numId w:val="0"/>
        </w:numPr>
        <w:spacing w:before="0" w:after="0" w:line="288" w:lineRule="auto"/>
        <w:ind w:left="72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20"/>
        </w:numPr>
        <w:spacing w:before="0" w:after="0" w:line="288" w:lineRule="auto"/>
        <w:ind w:left="1440" w:right="0" w:hanging="36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Financial Statement Schedules:</w:t>
      </w:r>
    </w:p>
    <w:p>
      <w:pPr>
        <w:keepNext w:val="0"/>
        <w:keepLines/>
        <w:pageBreakBefore w:val="0"/>
        <w:widowControl w:val="0"/>
        <w:numPr>
          <w:ilvl w:val="0"/>
          <w:numId w:val="0"/>
        </w:numPr>
        <w:spacing w:before="0" w:after="0" w:line="288" w:lineRule="auto"/>
        <w:ind w:left="720" w:right="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144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All schedules are omitted because they are not applicable, or the required information is shown in the Financial Statements or in the notes thereto.</w:t>
      </w:r>
    </w:p>
    <w:p>
      <w:pPr>
        <w:keepNext w:val="0"/>
        <w:keepLines/>
        <w:pageBreakBefore w:val="0"/>
        <w:widowControl w:val="0"/>
        <w:numPr>
          <w:ilvl w:val="0"/>
          <w:numId w:val="0"/>
        </w:numPr>
        <w:spacing w:before="0" w:after="0" w:line="288" w:lineRule="auto"/>
        <w:ind w:left="720" w:right="0" w:firstLine="0"/>
        <w:jc w:val="left"/>
        <w:outlineLvl w:val="9"/>
        <w:rPr>
          <w:rFonts w:ascii="Times New Roman" w:eastAsia="Times New Roman" w:hAnsi="Times New Roman" w:cs="Times New Roman"/>
          <w:b w:val="0"/>
          <w:i w:val="0"/>
          <w:sz w:val="20"/>
        </w:rPr>
      </w:pPr>
    </w:p>
    <w:p>
      <w:pPr>
        <w:keepNext/>
        <w:keepLines/>
        <w:pageBreakBefore w:val="0"/>
        <w:widowControl w:val="0"/>
        <w:numPr>
          <w:ilvl w:val="0"/>
          <w:numId w:val="20"/>
        </w:numPr>
        <w:spacing w:before="0" w:after="0" w:line="288" w:lineRule="auto"/>
        <w:ind w:left="1440" w:right="0" w:hanging="36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Exhibits:</w:t>
      </w:r>
    </w:p>
    <w:p>
      <w:pPr>
        <w:keepNext/>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tbl>
      <w:tblPr>
        <w:tblStyle w:val="TableNormal0"/>
        <w:tblW w:w="10230" w:type="dxa"/>
        <w:jc w:val="left"/>
        <w:tblInd w:w="0" w:type="dxa"/>
        <w:tblLayout w:type="fixed"/>
      </w:tblPr>
      <w:tblGrid>
        <w:gridCol w:w="1140"/>
        <w:gridCol w:w="195"/>
        <w:gridCol w:w="8895"/>
      </w:tblGrid>
      <w:tr>
        <w:tblPrEx>
          <w:tblW w:w="10230" w:type="dxa"/>
          <w:tblInd w:w="0" w:type="dxa"/>
          <w:tblLayout w:type="fixed"/>
        </w:tblPrEx>
        <w:trPr>
          <w:trHeight w:hRule="exact" w:val="480"/>
          <w:tblHeader/>
        </w:trPr>
        <w:tc>
          <w:tcPr>
            <w:tcW w:w="1140" w:type="dxa"/>
            <w:tcBorders>
              <w:top w:val="nil"/>
              <w:left w:val="nil"/>
              <w:bottom w:val="single" w:sz="8" w:space="0" w:color="000000"/>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i w:val="0"/>
                <w:color w:val="000000"/>
                <w:sz w:val="20"/>
                <w:u w:val="none"/>
              </w:rPr>
              <w:t>EXHIBIT NUMBER</w:t>
            </w: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both"/>
            </w:pPr>
            <w:r>
              <w:rPr>
                <w:rFonts w:ascii="Times New Roman" w:eastAsia="Times New Roman" w:hAnsi="Times New Roman" w:cs="Times New Roman"/>
                <w:b/>
                <w:i w:val="0"/>
                <w:color w:val="000000"/>
                <w:sz w:val="20"/>
                <w:u w:val="none"/>
              </w:rPr>
              <w:t>DESCRIPTION</w:t>
            </w:r>
          </w:p>
        </w:tc>
      </w:tr>
      <w:tr>
        <w:tblPrEx>
          <w:tblW w:w="10230" w:type="dxa"/>
          <w:tblInd w:w="0" w:type="dxa"/>
          <w:tblLayout w:type="fixed"/>
        </w:tblPrEx>
        <w:trPr>
          <w:trHeight w:hRule="exact" w:val="675"/>
          <w:tblHeader/>
        </w:trPr>
        <w:tc>
          <w:tcPr>
            <w:tcW w:w="1140" w:type="dxa"/>
            <w:tcBorders>
              <w:top w:val="single" w:sz="8" w:space="0" w:color="000000"/>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3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18" w:history="1">
              <w:r>
                <w:rPr>
                  <w:rFonts w:ascii="Times New Roman" w:eastAsia="Times New Roman" w:hAnsi="Times New Roman" w:cs="Times New Roman"/>
                  <w:b w:val="0"/>
                  <w:i w:val="0"/>
                  <w:color w:val="0000FF"/>
                  <w:sz w:val="20"/>
                  <w:u w:val="single"/>
                  <w:shd w:val="clear" w:color="auto" w:fill="auto"/>
                </w:rPr>
                <w:t>2.1+</w:t>
              </w:r>
            </w:hyperlink>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3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r:id="rId19" w:history="1">
              <w:r>
                <w:rPr>
                  <w:rFonts w:ascii="Times New Roman" w:eastAsia="Times New Roman" w:hAnsi="Times New Roman" w:cs="Times New Roman"/>
                  <w:b w:val="0"/>
                  <w:i w:val="0"/>
                  <w:color w:val="0000FF"/>
                  <w:sz w:val="20"/>
                  <w:u w:val="single"/>
                  <w:shd w:val="clear" w:color="auto" w:fill="auto"/>
                </w:rPr>
                <w:t>Equity Purchase Agreement, dated July 1, 2025, by and among Pendulum Holding, Inc., the equityholders of Pendulum Holding, Inc., Lathem Time 2025, LLC (f/k/a Lathem Time Corporation) and Asure Software, Inc (Previously filed as Exhibit 2.1 to the Company’s Current Report on Form 8-K, filed July 1, 2025).</w:t>
              </w:r>
            </w:hyperlink>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r>
        <w:tblPrEx>
          <w:tblW w:w="10230" w:type="dxa"/>
          <w:tblInd w:w="0" w:type="dxa"/>
          <w:tblLayout w:type="fixed"/>
        </w:tblPrEx>
        <w:trPr>
          <w:trHeight w:hRule="exact" w:val="675"/>
        </w:trPr>
        <w:tc>
          <w:tcPr>
            <w:tcW w:w="1140"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20" w:history="1">
              <w:r>
                <w:rPr>
                  <w:rFonts w:ascii="Times New Roman" w:eastAsia="Times New Roman" w:hAnsi="Times New Roman" w:cs="Times New Roman"/>
                  <w:b w:val="0"/>
                  <w:i w:val="0"/>
                  <w:color w:val="0000FF"/>
                  <w:sz w:val="20"/>
                  <w:u w:val="single"/>
                  <w:shd w:val="clear" w:color="auto" w:fill="auto"/>
                </w:rPr>
                <w:t>10.1+</w:t>
              </w:r>
            </w:hyperlink>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r:id="rId21" w:history="1">
              <w:r>
                <w:rPr>
                  <w:rFonts w:ascii="Times New Roman" w:eastAsia="Times New Roman" w:hAnsi="Times New Roman" w:cs="Times New Roman"/>
                  <w:b w:val="0"/>
                  <w:i w:val="0"/>
                  <w:color w:val="0000FF"/>
                  <w:sz w:val="20"/>
                  <w:u w:val="single"/>
                  <w:shd w:val="clear" w:color="auto" w:fill="auto"/>
                </w:rPr>
                <w:t>Credit Agreement, dated October 15, 2026, by and among Asure Software, Inc. as the Borrower, certain subsidiaries of the Borrower, MUFG Bank, LTD, and the Lender Parties. (Previously filed as Exhibit 10.1 to the Company’s Current Report on Form 8K, filed October 15, 2026).</w:t>
              </w:r>
            </w:hyperlink>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r>
        <w:tblPrEx>
          <w:tblW w:w="10230" w:type="dxa"/>
          <w:tblInd w:w="0" w:type="dxa"/>
          <w:tblLayout w:type="fixed"/>
        </w:tblPrEx>
        <w:trPr>
          <w:trHeight w:hRule="exact" w:val="225"/>
        </w:trPr>
        <w:tc>
          <w:tcPr>
            <w:tcW w:w="1140"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22" w:history="1">
              <w:r>
                <w:rPr>
                  <w:rFonts w:ascii="Times New Roman" w:eastAsia="Times New Roman" w:hAnsi="Times New Roman" w:cs="Times New Roman"/>
                  <w:b w:val="0"/>
                  <w:i w:val="0"/>
                  <w:color w:val="0000FF"/>
                  <w:sz w:val="20"/>
                  <w:u w:val="single"/>
                  <w:shd w:val="clear" w:color="auto" w:fill="auto"/>
                </w:rPr>
                <w:t>31.1*</w:t>
              </w:r>
            </w:hyperlink>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r:id="rId23" w:history="1">
              <w:r>
                <w:rPr>
                  <w:rFonts w:ascii="Times New Roman" w:eastAsia="Times New Roman" w:hAnsi="Times New Roman" w:cs="Times New Roman"/>
                  <w:b w:val="0"/>
                  <w:i w:val="0"/>
                  <w:color w:val="0000FF"/>
                  <w:sz w:val="20"/>
                  <w:u w:val="single"/>
                  <w:shd w:val="clear" w:color="auto" w:fill="auto"/>
                </w:rPr>
                <w:t>Certification pursuant to Section 302 of the Sarbanes-Oxley Act of 2002.</w:t>
              </w:r>
            </w:hyperlink>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r>
        <w:tblPrEx>
          <w:tblW w:w="10230" w:type="dxa"/>
          <w:tblInd w:w="0" w:type="dxa"/>
          <w:tblLayout w:type="fixed"/>
        </w:tblPrEx>
        <w:trPr>
          <w:trHeight w:hRule="exact" w:val="285"/>
        </w:trPr>
        <w:tc>
          <w:tcPr>
            <w:tcW w:w="1140"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24" w:history="1">
              <w:r>
                <w:rPr>
                  <w:rFonts w:ascii="Times New Roman" w:eastAsia="Times New Roman" w:hAnsi="Times New Roman" w:cs="Times New Roman"/>
                  <w:b w:val="0"/>
                  <w:i w:val="0"/>
                  <w:color w:val="0000FF"/>
                  <w:sz w:val="20"/>
                  <w:u w:val="single"/>
                  <w:shd w:val="clear" w:color="auto" w:fill="auto"/>
                </w:rPr>
                <w:t>31.2*</w:t>
              </w:r>
            </w:hyperlink>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r:id="rId25" w:history="1">
              <w:r>
                <w:rPr>
                  <w:rFonts w:ascii="Times New Roman" w:eastAsia="Times New Roman" w:hAnsi="Times New Roman" w:cs="Times New Roman"/>
                  <w:b w:val="0"/>
                  <w:i w:val="0"/>
                  <w:color w:val="0000FF"/>
                  <w:sz w:val="20"/>
                  <w:u w:val="single"/>
                  <w:shd w:val="clear" w:color="auto" w:fill="auto"/>
                </w:rPr>
                <w:t>Certification pursuant to Section 302 of the Sarbanes-Oxley Act of 2002.</w:t>
              </w:r>
            </w:hyperlink>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r>
        <w:tblPrEx>
          <w:tblW w:w="10230" w:type="dxa"/>
          <w:tblInd w:w="0" w:type="dxa"/>
          <w:tblLayout w:type="fixed"/>
        </w:tblPrEx>
        <w:trPr>
          <w:trHeight w:hRule="exact" w:val="465"/>
        </w:trPr>
        <w:tc>
          <w:tcPr>
            <w:tcW w:w="1140"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26" w:history="1">
              <w:r>
                <w:rPr>
                  <w:rFonts w:ascii="Times New Roman" w:eastAsia="Times New Roman" w:hAnsi="Times New Roman" w:cs="Times New Roman"/>
                  <w:b w:val="0"/>
                  <w:i w:val="0"/>
                  <w:color w:val="0000FF"/>
                  <w:sz w:val="20"/>
                  <w:u w:val="single"/>
                  <w:shd w:val="clear" w:color="auto" w:fill="auto"/>
                </w:rPr>
                <w:t>32.1**</w:t>
              </w:r>
            </w:hyperlink>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r:id="rId27" w:history="1">
              <w:r>
                <w:rPr>
                  <w:rFonts w:ascii="Times New Roman" w:eastAsia="Times New Roman" w:hAnsi="Times New Roman" w:cs="Times New Roman"/>
                  <w:b w:val="0"/>
                  <w:i w:val="0"/>
                  <w:color w:val="0000FF"/>
                  <w:sz w:val="20"/>
                  <w:u w:val="single"/>
                  <w:shd w:val="clear" w:color="auto" w:fill="auto"/>
                </w:rPr>
                <w:t>Certification pursuant to 18 U.S.C. Section 1350, as adopted pursuant to Section 906 of the Sarbanes-Oxley Act of 2002.</w:t>
              </w:r>
            </w:hyperlink>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r>
        <w:tblPrEx>
          <w:tblW w:w="10230" w:type="dxa"/>
          <w:tblInd w:w="0" w:type="dxa"/>
          <w:tblLayout w:type="fixed"/>
        </w:tblPrEx>
        <w:trPr>
          <w:trHeight w:hRule="exact" w:val="465"/>
        </w:trPr>
        <w:tc>
          <w:tcPr>
            <w:tcW w:w="1140"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28" w:history="1">
              <w:r>
                <w:rPr>
                  <w:rFonts w:ascii="Times New Roman" w:eastAsia="Times New Roman" w:hAnsi="Times New Roman" w:cs="Times New Roman"/>
                  <w:b w:val="0"/>
                  <w:i w:val="0"/>
                  <w:color w:val="0000FF"/>
                  <w:sz w:val="20"/>
                  <w:u w:val="single"/>
                  <w:shd w:val="clear" w:color="auto" w:fill="auto"/>
                </w:rPr>
                <w:t>32.2**</w:t>
              </w:r>
            </w:hyperlink>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8895" w:type="dxa"/>
            <w:tcBorders>
              <w:top w:val="nil"/>
              <w:left w:val="nil"/>
              <w:bottom w:val="nil"/>
              <w:right w:val="nil"/>
            </w:tcBorders>
            <w:tcMar>
              <w:top w:w="0" w:type="dxa"/>
              <w:left w:w="53" w:type="dxa"/>
              <w:bottom w:w="0" w:type="dxa"/>
              <w:right w:w="53" w:type="dxa"/>
            </w:tcMar>
            <w:vAlign w:val="top"/>
          </w:tcPr>
          <w:p>
            <w:pPr>
              <w:pStyle w:val="Normal-wk"/>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shd w:val="clear" w:color="auto" w:fill="auto"/>
              </w:rPr>
            </w:pPr>
            <w:hyperlink r:id="rId29" w:history="1">
              <w:r>
                <w:rPr>
                  <w:rFonts w:ascii="Times New Roman" w:eastAsia="Times New Roman" w:hAnsi="Times New Roman" w:cs="Times New Roman"/>
                  <w:b w:val="0"/>
                  <w:i w:val="0"/>
                  <w:color w:val="0000FF"/>
                  <w:sz w:val="20"/>
                  <w:u w:val="single"/>
                  <w:shd w:val="clear" w:color="auto" w:fill="auto"/>
                </w:rPr>
                <w:t>Certification pursuant to 18 U.S.C. Section 1350, as adopted pursuant to Section 906 of the Sarbanes-Oxley Act of 2002.</w:t>
              </w:r>
            </w:hyperlink>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r>
        <w:tblPrEx>
          <w:tblW w:w="10230" w:type="dxa"/>
          <w:tblInd w:w="0" w:type="dxa"/>
          <w:tblLayout w:type="fixed"/>
        </w:tblPrEx>
        <w:trPr>
          <w:trHeight w:hRule="exact" w:val="1065"/>
        </w:trPr>
        <w:tc>
          <w:tcPr>
            <w:tcW w:w="1140" w:type="dxa"/>
            <w:tcBorders>
              <w:top w:val="nil"/>
              <w:left w:val="nil"/>
              <w:bottom w:val="nil"/>
              <w:right w:val="nil"/>
            </w:tcBorders>
            <w:tcMar>
              <w:top w:w="0" w:type="dxa"/>
              <w:left w:w="53" w:type="dxa"/>
              <w:bottom w:w="0" w:type="dxa"/>
              <w:right w:w="15"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101</w:t>
            </w: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bottom"/>
          </w:tcPr>
          <w:p>
            <w:pPr>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 following materials from Asure Software, Inc.’s Quarterly Report on Form 10-Q for the three months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formatted in Inline XBRL: (1) the Condensed Consolidated Balance Sheets, (2) the Condensed Consolidated Statements of Comprehensive Loss, (3) the Condensed Consolidated Statements of Changes in Stockholders’ Equity, (4) the Condensed Consolidated Statements of Cash Flows, and (5) Notes to Condensed Consolidated Financial Statements (filed herewith).</w:t>
            </w:r>
          </w:p>
        </w:tc>
      </w:tr>
      <w:tr>
        <w:tblPrEx>
          <w:tblW w:w="10230" w:type="dxa"/>
          <w:tblInd w:w="0" w:type="dxa"/>
          <w:tblLayout w:type="fixed"/>
        </w:tblPrEx>
        <w:trPr>
          <w:trHeight w:hRule="exact" w:val="120"/>
        </w:trPr>
        <w:tc>
          <w:tcPr>
            <w:tcW w:w="1140"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c>
          <w:tcPr>
            <w:tcW w:w="8895" w:type="dxa"/>
            <w:tcBorders>
              <w:top w:val="nil"/>
              <w:left w:val="nil"/>
              <w:bottom w:val="nil"/>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0"/>
              </w:rPr>
            </w:pPr>
          </w:p>
        </w:tc>
      </w:tr>
      <w:tr>
        <w:tblPrEx>
          <w:tblW w:w="10230" w:type="dxa"/>
          <w:tblInd w:w="0" w:type="dxa"/>
          <w:tblLayout w:type="fixed"/>
        </w:tblPrEx>
        <w:trPr>
          <w:trHeight w:hRule="exact" w:val="495"/>
        </w:trPr>
        <w:tc>
          <w:tcPr>
            <w:tcW w:w="1140" w:type="dxa"/>
            <w:tcBorders>
              <w:top w:val="nil"/>
              <w:left w:val="nil"/>
              <w:bottom w:val="nil"/>
              <w:right w:val="nil"/>
            </w:tcBorders>
            <w:tcMar>
              <w:top w:w="0" w:type="dxa"/>
              <w:left w:w="53" w:type="dxa"/>
              <w:bottom w:w="0" w:type="dxa"/>
              <w:right w:w="15"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104</w:t>
            </w:r>
          </w:p>
        </w:tc>
        <w:tc>
          <w:tcPr>
            <w:tcW w:w="19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8895" w:type="dxa"/>
            <w:tcBorders>
              <w:top w:val="nil"/>
              <w:left w:val="nil"/>
              <w:bottom w:val="nil"/>
              <w:right w:val="nil"/>
            </w:tcBorders>
            <w:tcMar>
              <w:top w:w="0" w:type="dxa"/>
              <w:left w:w="53" w:type="dxa"/>
              <w:bottom w:w="0" w:type="dxa"/>
              <w:right w:w="53" w:type="dxa"/>
            </w:tcMar>
            <w:vAlign w:val="bottom"/>
          </w:tcPr>
          <w:p>
            <w:pPr>
              <w:pageBreakBefore w:val="0"/>
              <w:numPr>
                <w:ilvl w:val="0"/>
                <w:numId w:val="0"/>
              </w:numPr>
              <w:spacing w:before="53" w:after="30" w:line="240"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 cover page from the Company’s Quarterly Report on Form 10-Q for the quarter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formatted as Inline XBRL and contained in Exhibit 101 (filed herewith).</w:t>
            </w:r>
          </w:p>
        </w:tc>
      </w:tr>
    </w:tbl>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ab/>
      </w:r>
      <w:r>
        <w:rPr>
          <w:rFonts w:ascii="Times New Roman" w:eastAsia="Times New Roman" w:hAnsi="Times New Roman" w:cs="Times New Roman"/>
          <w:b w:val="0"/>
          <w:i w:val="0"/>
          <w:sz w:val="20"/>
        </w:rPr>
        <w:t>Filed herewith.</w:t>
      </w: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ab/>
      </w:r>
      <w:r>
        <w:rPr>
          <w:rFonts w:ascii="Times New Roman" w:eastAsia="Times New Roman" w:hAnsi="Times New Roman" w:cs="Times New Roman"/>
          <w:b w:val="0"/>
          <w:i w:val="0"/>
          <w:sz w:val="20"/>
        </w:rPr>
        <w:t>Furnished herewith.</w:t>
      </w: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w:t>
      </w:r>
      <w:r>
        <w:rPr>
          <w:rFonts w:ascii="Times New Roman" w:eastAsia="Times New Roman" w:hAnsi="Times New Roman" w:cs="Times New Roman"/>
          <w:b w:val="0"/>
          <w:i w:val="0"/>
          <w:sz w:val="20"/>
        </w:rPr>
        <w:tab/>
      </w:r>
      <w:r>
        <w:rPr>
          <w:rFonts w:ascii="Times New Roman" w:eastAsia="Times New Roman" w:hAnsi="Times New Roman" w:cs="Times New Roman"/>
          <w:b w:val="0"/>
          <w:i w:val="0"/>
          <w:sz w:val="20"/>
        </w:rPr>
        <w:t>Certain schedules and similar attachments to this agreement have been omitted pursuant to Item 601(a)(5) of Rule S-K. The Company undertakes to furnish supplementally a copy of all omitted schedules and attachments to the Securities and Exchange Commission upon its request.</w:t>
      </w:r>
    </w:p>
    <w:p>
      <w:pPr>
        <w:keepNext w:val="0"/>
        <w:keepLines w:val="0"/>
        <w:pageBreakBefore w:val="0"/>
        <w:widowControl/>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rPr>
        <w:sectPr>
          <w:pgSz w:w="12240" w:h="15840"/>
          <w:pgMar w:top="855" w:right="990" w:bottom="855" w:left="990" w:header="270" w:footer="270"/>
          <w:cols w:space="720"/>
        </w:sectPr>
      </w:pPr>
    </w:p>
    <w:p>
      <w:pPr>
        <w:keepNext/>
        <w:keepLines/>
        <w:pageBreakBefore w:val="0"/>
        <w:widowControl w:val="0"/>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37" w:name="Section38"/>
      <w:bookmarkEnd w:id="37"/>
      <w:r>
        <w:rPr>
          <w:rFonts w:ascii="Times New Roman" w:eastAsia="Times New Roman" w:hAnsi="Times New Roman" w:cs="Times New Roman"/>
          <w:b/>
          <w:i w:val="0"/>
          <w:sz w:val="20"/>
        </w:rPr>
        <w:t>SIGNATURES</w:t>
      </w:r>
    </w:p>
    <w:p>
      <w:pPr>
        <w:keepNext/>
        <w:keepLines/>
        <w:pageBreakBefore w:val="0"/>
        <w:widowControl w:val="0"/>
        <w:numPr>
          <w:ilvl w:val="0"/>
          <w:numId w:val="0"/>
        </w:numPr>
        <w:spacing w:before="0" w:after="0" w:line="288" w:lineRule="auto"/>
        <w:ind w:left="0" w:right="0" w:firstLine="135"/>
        <w:jc w:val="center"/>
        <w:outlineLvl w:val="9"/>
        <w:rPr>
          <w:rFonts w:ascii="Times New Roman" w:eastAsia="Times New Roman" w:hAnsi="Times New Roman" w:cs="Times New Roman"/>
          <w:b/>
          <w:i w:val="0"/>
          <w:sz w:val="20"/>
        </w:rPr>
      </w:pP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Pursuant to the requirements of the Securities Exchange Act of 1934, as amended, the registrant has duly caused this report to be signed on its behalf by the undersigned thereunto duly authorized.</w:t>
      </w:r>
    </w:p>
    <w:p>
      <w:pPr>
        <w:keepNext w:val="0"/>
        <w:keepLines/>
        <w:pageBreakBefore w:val="0"/>
        <w:widowControl w:val="0"/>
        <w:numPr>
          <w:ilvl w:val="0"/>
          <w:numId w:val="0"/>
        </w:numPr>
        <w:spacing w:before="0" w:after="0" w:line="288" w:lineRule="auto"/>
        <w:ind w:left="0" w:right="0" w:firstLine="720"/>
        <w:jc w:val="both"/>
        <w:outlineLvl w:val="9"/>
        <w:rPr>
          <w:rFonts w:ascii="Times New Roman" w:eastAsia="Times New Roman" w:hAnsi="Times New Roman" w:cs="Times New Roman"/>
          <w:b w:val="0"/>
          <w:i w:val="0"/>
          <w:sz w:val="20"/>
        </w:rPr>
      </w:pPr>
    </w:p>
    <w:tbl>
      <w:tblPr>
        <w:tblStyle w:val="TableNormal0"/>
        <w:tblW w:w="10200" w:type="dxa"/>
        <w:jc w:val="left"/>
        <w:tblInd w:w="0" w:type="dxa"/>
        <w:tblLayout w:type="fixed"/>
      </w:tblPr>
      <w:tblGrid>
        <w:gridCol w:w="2235"/>
        <w:gridCol w:w="405"/>
        <w:gridCol w:w="3705"/>
        <w:gridCol w:w="3855"/>
      </w:tblGrid>
      <w:tr>
        <w:tblPrEx>
          <w:tblW w:w="10200" w:type="dxa"/>
          <w:tblInd w:w="0" w:type="dxa"/>
          <w:tblLayout w:type="fixed"/>
        </w:tblPrEx>
        <w:trPr>
          <w:trHeight w:hRule="exact" w:val="285"/>
        </w:trPr>
        <w:tc>
          <w:tcPr>
            <w:tcW w:w="223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110" w:type="dxa"/>
            <w:gridSpan w:val="2"/>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ASURE SOFTWARE, INC.</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37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Date: October 29, 2026</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370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PATRICK GOEPEL</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3705"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Patrick Goepel</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37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Chief Executive Officer</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7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(Principal Executive Officer)</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7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Date: October 29, 2026</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370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JOHN PENCE</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705"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John Pence</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4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7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Chief Financial Officer</w:t>
            </w:r>
          </w:p>
        </w:tc>
        <w:tc>
          <w:tcPr>
            <w:tcW w:w="385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10200" w:type="dxa"/>
          <w:tblInd w:w="0" w:type="dxa"/>
          <w:tblLayout w:type="fixed"/>
        </w:tblPrEx>
        <w:trPr>
          <w:trHeight w:hRule="exact" w:val="285"/>
        </w:trPr>
        <w:tc>
          <w:tcPr>
            <w:tcW w:w="223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40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7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(Principal Financial and Accounting Officer)</w:t>
            </w:r>
          </w:p>
        </w:tc>
        <w:tc>
          <w:tcPr>
            <w:tcW w:w="3855" w:type="dxa"/>
            <w:tcBorders>
              <w:top w:val="nil"/>
              <w:left w:val="nil"/>
              <w:bottom w:val="nil"/>
              <w:right w:val="nil"/>
            </w:tcBorders>
            <w:tcMar>
              <w:top w:w="0" w:type="dxa"/>
              <w:left w:w="0" w:type="dxa"/>
              <w:bottom w:w="0" w:type="dxa"/>
              <w:right w:w="0" w:type="dxa"/>
            </w:tcMar>
            <w:vAlign w:val="bottom"/>
          </w:tcPr>
          <w:p>
            <w:pPr>
              <w:pageBreakBefore w:val="0"/>
              <w:spacing w:before="0" w:after="0"/>
            </w:pPr>
          </w:p>
        </w:tc>
      </w:tr>
    </w:tbl>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sectPr>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135"/>
        <w:jc w:val="center"/>
        <w:outlineLvl w:val="0"/>
        <w:rPr>
          <w:rFonts w:ascii="Times New Roman" w:eastAsia="Times New Roman" w:hAnsi="Times New Roman" w:cs="Times New Roman"/>
          <w:b/>
          <w:i w:val="0"/>
          <w:sz w:val="20"/>
        </w:rPr>
      </w:pPr>
      <w:bookmarkStart w:id="38" w:name="Section39"/>
      <w:bookmarkEnd w:id="38"/>
      <w:r>
        <w:rPr>
          <w:rFonts w:ascii="Times New Roman" w:eastAsia="Times New Roman" w:hAnsi="Times New Roman" w:cs="Times New Roman"/>
          <w:b/>
          <w:i w:val="0"/>
          <w:sz w:val="20"/>
        </w:rPr>
        <w:t>CERTIFICATION OF PERIODIC REPORT</w:t>
      </w:r>
    </w:p>
    <w:p>
      <w:pPr>
        <w:keepNext w:val="0"/>
        <w:keepLines/>
        <w:pageBreakBefore w:val="0"/>
        <w:widowControl w:val="0"/>
        <w:numPr>
          <w:ilvl w:val="0"/>
          <w:numId w:val="0"/>
        </w:numPr>
        <w:spacing w:before="200" w:after="0" w:line="288" w:lineRule="auto"/>
        <w:ind w:left="0" w:right="0" w:firstLine="135"/>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PURSUANT TO SECTION 302 OF THE SARBANES-OXLEY ACT OF 2002</w:t>
      </w:r>
    </w:p>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 the undersigned, Patrick Goepel, certify, that:</w:t>
      </w:r>
    </w:p>
    <w:p>
      <w:pPr>
        <w:keepNext w:val="0"/>
        <w:keepLines/>
        <w:pageBreakBefore w:val="0"/>
        <w:widowControl w:val="0"/>
        <w:numPr>
          <w:ilvl w:val="0"/>
          <w:numId w:val="21"/>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I have reviewed this annual report on Form 10-K of the Company for the calendar year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(the “Report”);</w:t>
      </w:r>
    </w:p>
    <w:p>
      <w:pPr>
        <w:keepNext w:val="0"/>
        <w:keepLines/>
        <w:pageBreakBefore w:val="0"/>
        <w:widowControl w:val="0"/>
        <w:numPr>
          <w:ilvl w:val="0"/>
          <w:numId w:val="21"/>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Based on my knowledge, the Report does not contain any untrue statement of a material fact or omit to state a material fact necessary to make the statements made, in light of the circumstances under which such statements were made, not misleading with respect to the periods covered by this Report;</w:t>
      </w:r>
    </w:p>
    <w:p>
      <w:pPr>
        <w:keepNext w:val="0"/>
        <w:keepLines/>
        <w:pageBreakBefore w:val="0"/>
        <w:widowControl w:val="0"/>
        <w:numPr>
          <w:ilvl w:val="0"/>
          <w:numId w:val="21"/>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Based on my knowledge, the financial statements, and other financial information included in the Report, fairly present in all material respects the financial condition, results of operations and cash flows of the Company as of, and for, the periods presented in the Report;</w:t>
      </w:r>
    </w:p>
    <w:p>
      <w:pPr>
        <w:keepNext w:val="0"/>
        <w:keepLines/>
        <w:pageBreakBefore w:val="0"/>
        <w:widowControl w:val="0"/>
        <w:numPr>
          <w:ilvl w:val="0"/>
          <w:numId w:val="21"/>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Company’s other certifying officer and I are responsible for establishing and maintaining disclosure controls and procedures (as defined in Exchange Act Rules 13a-15(e) and 15d-15(e)) and internal control over financial reporting (as defined in Exchange Act Rules 13a-15(f) and 15d-15(f)) for the Company and we have:</w:t>
      </w:r>
    </w:p>
    <w:p>
      <w:pPr>
        <w:keepNext w:val="0"/>
        <w:keepLines/>
        <w:pageBreakBefore w:val="0"/>
        <w:widowControl w:val="0"/>
        <w:numPr>
          <w:ilvl w:val="0"/>
          <w:numId w:val="22"/>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Designed such disclosure controls and procedures, or caused such disclosure controls and procedures to be designed under our supervision, to ensure that material information relating to the Company, including its consolidated subsidiaries, is made known to us by others within these entities, particularly during the period in which the Report is being prepared;</w:t>
      </w:r>
    </w:p>
    <w:p>
      <w:pPr>
        <w:keepNext w:val="0"/>
        <w:keepLines/>
        <w:pageBreakBefore w:val="0"/>
        <w:widowControl w:val="0"/>
        <w:numPr>
          <w:ilvl w:val="0"/>
          <w:numId w:val="22"/>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Designed such internal control over financial reporting, or caused such internal control over financial reporting to be designed under our supervision, to provide reasonable assurance regarding the reliability of financial reporting and the preparation of financial statements for external purposes in accordance with generally accepted accounting principles;</w:t>
      </w:r>
    </w:p>
    <w:p>
      <w:pPr>
        <w:keepNext w:val="0"/>
        <w:keepLines/>
        <w:pageBreakBefore w:val="0"/>
        <w:widowControl w:val="0"/>
        <w:numPr>
          <w:ilvl w:val="0"/>
          <w:numId w:val="22"/>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Evaluated the effectiveness of the Company’s disclosure controls and procedures and presented in the Report our conclusions about the effectiveness of the disclosure controls and procedures, as of the end of the period covered by the Report based on such evaluation; and</w:t>
      </w:r>
    </w:p>
    <w:p>
      <w:pPr>
        <w:keepNext w:val="0"/>
        <w:keepLines/>
        <w:pageBreakBefore w:val="0"/>
        <w:widowControl w:val="0"/>
        <w:numPr>
          <w:ilvl w:val="0"/>
          <w:numId w:val="22"/>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Disclosed in the Report any change in the Company’s internal control over financial reporting that occurred during the Company’s most recent fiscal quarter (the quarter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that has materially affected, or is reasonably likely to materially affect, the Company’s internal control over financial reporting; and</w:t>
      </w:r>
    </w:p>
    <w:p>
      <w:pPr>
        <w:keepNext w:val="0"/>
        <w:keepLines/>
        <w:pageBreakBefore w:val="0"/>
        <w:widowControl w:val="0"/>
        <w:numPr>
          <w:ilvl w:val="0"/>
          <w:numId w:val="21"/>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Company’s other certifying officer and I have disclosed, based on our most recent evaluation of internal control over financial reporting, to the Company’s auditors and to the Audit Committee of the Board of Directors:</w:t>
      </w:r>
    </w:p>
    <w:p>
      <w:pPr>
        <w:keepNext w:val="0"/>
        <w:keepLines/>
        <w:pageBreakBefore w:val="0"/>
        <w:widowControl w:val="0"/>
        <w:numPr>
          <w:ilvl w:val="0"/>
          <w:numId w:val="23"/>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All significant deficiencies or material weaknesses in the design or operation of internal control over financial reporting which are reasonably likely to adversely affect the Company’s ability to record, process, summarize and report financial information; and</w:t>
      </w:r>
    </w:p>
    <w:p>
      <w:pPr>
        <w:keepNext w:val="0"/>
        <w:keepLines/>
        <w:pageBreakBefore w:val="0"/>
        <w:widowControl w:val="0"/>
        <w:numPr>
          <w:ilvl w:val="0"/>
          <w:numId w:val="23"/>
        </w:numPr>
        <w:spacing w:before="200" w:after="10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Any fraud, whether or not material, that involves management or other employees who have a significant role in the Company’s internal control over financial reporting.</w:t>
      </w:r>
    </w:p>
    <w:tbl>
      <w:tblPr>
        <w:tblStyle w:val="TableNormal0"/>
        <w:tblW w:w="10260" w:type="dxa"/>
        <w:jc w:val="left"/>
        <w:tblInd w:w="0" w:type="dxa"/>
        <w:tblLayout w:type="fixed"/>
      </w:tblPr>
      <w:tblGrid>
        <w:gridCol w:w="2850"/>
        <w:gridCol w:w="405"/>
        <w:gridCol w:w="7005"/>
      </w:tblGrid>
      <w:tr>
        <w:tblPrEx>
          <w:tblW w:w="10260" w:type="dxa"/>
          <w:tblInd w:w="0" w:type="dxa"/>
          <w:tblLayout w:type="fixed"/>
        </w:tblPrEx>
        <w:trPr>
          <w:trHeight w:hRule="exact" w:val="285"/>
        </w:trPr>
        <w:tc>
          <w:tcPr>
            <w:tcW w:w="2850"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Date: </w:t>
            </w:r>
            <w:r>
              <w:rPr>
                <w:rFonts w:ascii="Times New Roman" w:eastAsia="Times New Roman" w:hAnsi="Times New Roman" w:cs="Times New Roman"/>
                <w:b w:val="0"/>
                <w:i w:val="0"/>
                <w:color w:val="000000"/>
                <w:sz w:val="20"/>
                <w:u w:val="none"/>
              </w:rPr>
              <w:t>October 29, 2026</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7005"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Patrick Goepel</w:t>
            </w:r>
          </w:p>
        </w:tc>
      </w:tr>
      <w:tr>
        <w:tblPrEx>
          <w:tblW w:w="10260" w:type="dxa"/>
          <w:tblInd w:w="0" w:type="dxa"/>
          <w:tblLayout w:type="fixed"/>
        </w:tblPrEx>
        <w:trPr>
          <w:trHeight w:hRule="exact" w:val="285"/>
        </w:trPr>
        <w:tc>
          <w:tcPr>
            <w:tcW w:w="2850"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7005"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Patrick Goepel</w:t>
            </w:r>
          </w:p>
        </w:tc>
      </w:tr>
      <w:tr>
        <w:tblPrEx>
          <w:tblW w:w="10260" w:type="dxa"/>
          <w:tblInd w:w="0" w:type="dxa"/>
          <w:tblLayout w:type="fixed"/>
        </w:tblPrEx>
        <w:trPr>
          <w:trHeight w:hRule="exact" w:val="285"/>
        </w:trPr>
        <w:tc>
          <w:tcPr>
            <w:tcW w:w="285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70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Chief Executive Officer</w:t>
            </w:r>
          </w:p>
        </w:tc>
      </w:tr>
    </w:tbl>
    <w:p>
      <w:pPr>
        <w:keepNext w:val="0"/>
        <w:keepLines/>
        <w:pageBreakBefore w:val="0"/>
        <w:widowControl w:val="0"/>
        <w:numPr>
          <w:ilvl w:val="0"/>
          <w:numId w:val="0"/>
        </w:numPr>
        <w:spacing w:before="200" w:after="0" w:line="288" w:lineRule="auto"/>
        <w:ind w:left="0" w:right="0" w:firstLine="135"/>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200" w:after="0" w:line="288" w:lineRule="auto"/>
        <w:ind w:left="0" w:right="0" w:firstLine="135"/>
        <w:jc w:val="left"/>
        <w:outlineLvl w:val="9"/>
        <w:rPr>
          <w:rFonts w:ascii="Times New Roman" w:eastAsia="Times New Roman" w:hAnsi="Times New Roman" w:cs="Times New Roman"/>
          <w:b w:val="0"/>
          <w:i w:val="0"/>
          <w:sz w:val="20"/>
        </w:rPr>
        <w:sectPr>
          <w:headerReference w:type="default" r:id="rId30"/>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135"/>
        <w:jc w:val="center"/>
        <w:outlineLvl w:val="0"/>
        <w:rPr>
          <w:rFonts w:ascii="Times New Roman" w:eastAsia="Times New Roman" w:hAnsi="Times New Roman" w:cs="Times New Roman"/>
          <w:b/>
          <w:i w:val="0"/>
          <w:sz w:val="20"/>
        </w:rPr>
      </w:pPr>
      <w:bookmarkStart w:id="39" w:name="Section40"/>
      <w:bookmarkEnd w:id="39"/>
      <w:r>
        <w:rPr>
          <w:rFonts w:ascii="Times New Roman" w:eastAsia="Times New Roman" w:hAnsi="Times New Roman" w:cs="Times New Roman"/>
          <w:b/>
          <w:i w:val="0"/>
          <w:sz w:val="20"/>
        </w:rPr>
        <w:t>CERTIFICATION OF PERIODIC REPORT</w:t>
      </w:r>
    </w:p>
    <w:p>
      <w:pPr>
        <w:keepNext w:val="0"/>
        <w:keepLines/>
        <w:pageBreakBefore w:val="0"/>
        <w:widowControl w:val="0"/>
        <w:numPr>
          <w:ilvl w:val="0"/>
          <w:numId w:val="0"/>
        </w:numPr>
        <w:spacing w:before="200" w:after="0" w:line="288" w:lineRule="auto"/>
        <w:ind w:left="0" w:right="0" w:firstLine="135"/>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PURSUANT TO SECTION 302 OF THE SARBANES-OXLEY ACT OF 2002</w:t>
      </w:r>
    </w:p>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 the undersigned, John Pence, certify, that:</w:t>
      </w:r>
    </w:p>
    <w:p>
      <w:pPr>
        <w:keepNext w:val="0"/>
        <w:keepLines/>
        <w:pageBreakBefore w:val="0"/>
        <w:widowControl w:val="0"/>
        <w:numPr>
          <w:ilvl w:val="0"/>
          <w:numId w:val="24"/>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I have reviewed this annual report on Form 10-K of the Company for the calendar year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(the “Report”);</w:t>
      </w:r>
    </w:p>
    <w:p>
      <w:pPr>
        <w:keepNext w:val="0"/>
        <w:keepLines/>
        <w:pageBreakBefore w:val="0"/>
        <w:widowControl w:val="0"/>
        <w:numPr>
          <w:ilvl w:val="0"/>
          <w:numId w:val="24"/>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Based on my knowledge, the Report does not contain any untrue statement of a material fact or omit to state a material fact necessary to make the statements made, in light of the circumstances under which such statements were made, not misleading with respect to the periods covered by this Report;</w:t>
      </w:r>
    </w:p>
    <w:p>
      <w:pPr>
        <w:keepNext w:val="0"/>
        <w:keepLines/>
        <w:pageBreakBefore w:val="0"/>
        <w:widowControl w:val="0"/>
        <w:numPr>
          <w:ilvl w:val="0"/>
          <w:numId w:val="24"/>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Based on my knowledge, the financial statements, and other financial information included in the Report, fairly present in all material respects the financial condition, results of operations and cash flows of the Company as of, and for, the periods presented in the Report;</w:t>
      </w:r>
    </w:p>
    <w:p>
      <w:pPr>
        <w:keepNext w:val="0"/>
        <w:keepLines/>
        <w:pageBreakBefore w:val="0"/>
        <w:widowControl w:val="0"/>
        <w:numPr>
          <w:ilvl w:val="0"/>
          <w:numId w:val="24"/>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Company’s other certifying officer and I are responsible for establishing and maintaining disclosure controls and procedures (as defined in Exchange Act Rules 13a-15(e) and 15d-15(e)) and internal control over financial reporting (as defined in Exchange Act Rules 13a-15(f) and 15d-15(f)) for the Company and we have:</w:t>
      </w:r>
    </w:p>
    <w:p>
      <w:pPr>
        <w:keepNext w:val="0"/>
        <w:keepLines/>
        <w:pageBreakBefore w:val="0"/>
        <w:widowControl w:val="0"/>
        <w:numPr>
          <w:ilvl w:val="0"/>
          <w:numId w:val="25"/>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Designed such disclosure controls and procedures, or caused such disclosure controls and procedures to be designed under our supervision, to ensure that material information relating to the Company, including its consolidated subsidiaries, is made known to us by others within these entities, particularly during the period in which the Report is being prepared;</w:t>
      </w:r>
    </w:p>
    <w:p>
      <w:pPr>
        <w:keepNext w:val="0"/>
        <w:keepLines/>
        <w:pageBreakBefore w:val="0"/>
        <w:widowControl w:val="0"/>
        <w:numPr>
          <w:ilvl w:val="0"/>
          <w:numId w:val="25"/>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Designed such internal control over financial reporting, or caused such internal control over financial reporting to be designed under our supervision, to provide reasonable assurance regarding the reliability of financial reporting and the preparation of financial statements for external purposes in accordance with generally accepted accounting principles;</w:t>
      </w:r>
    </w:p>
    <w:p>
      <w:pPr>
        <w:keepNext w:val="0"/>
        <w:keepLines/>
        <w:pageBreakBefore w:val="0"/>
        <w:widowControl w:val="0"/>
        <w:numPr>
          <w:ilvl w:val="0"/>
          <w:numId w:val="25"/>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Evaluated the effectiveness of the Company’s disclosure controls and procedures and presented in the Report our conclusions about the effectiveness of the disclosure controls and procedures, as of the end of the period covered by the Report based on such evaluation; and</w:t>
      </w:r>
    </w:p>
    <w:p>
      <w:pPr>
        <w:keepNext w:val="0"/>
        <w:keepLines/>
        <w:pageBreakBefore w:val="0"/>
        <w:widowControl w:val="0"/>
        <w:numPr>
          <w:ilvl w:val="0"/>
          <w:numId w:val="25"/>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Disclosed in the Report any change in the Company’s internal control over financial reporting that occurred during the Company’s most recent fiscal quarter (the quarter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that has materially affected, or is reasonably likely to materially affect, the Company’s internal control over financial reporting; and</w:t>
      </w:r>
    </w:p>
    <w:p>
      <w:pPr>
        <w:keepNext w:val="0"/>
        <w:keepLines/>
        <w:pageBreakBefore w:val="0"/>
        <w:widowControl w:val="0"/>
        <w:numPr>
          <w:ilvl w:val="0"/>
          <w:numId w:val="24"/>
        </w:numPr>
        <w:spacing w:before="200" w:after="0" w:line="288" w:lineRule="auto"/>
        <w:ind w:left="720" w:right="0" w:hanging="18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Company’s other certifying officer and I have disclosed, based on our most recent evaluation of internal control over financial reporting, to the Company’s auditors and to the Audit Committee of the Board of Directors:</w:t>
      </w:r>
    </w:p>
    <w:p>
      <w:pPr>
        <w:keepNext w:val="0"/>
        <w:keepLines/>
        <w:pageBreakBefore w:val="0"/>
        <w:widowControl w:val="0"/>
        <w:numPr>
          <w:ilvl w:val="0"/>
          <w:numId w:val="26"/>
        </w:numPr>
        <w:spacing w:before="200" w:after="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All significant deficiencies or material weaknesses in the design or operation of internal control over financial reporting which are reasonably likely to adversely affect the Company’s ability to record, process, summarize and report financial information; and</w:t>
      </w:r>
    </w:p>
    <w:p>
      <w:pPr>
        <w:keepNext w:val="0"/>
        <w:keepLines/>
        <w:pageBreakBefore w:val="0"/>
        <w:widowControl w:val="0"/>
        <w:numPr>
          <w:ilvl w:val="0"/>
          <w:numId w:val="26"/>
        </w:numPr>
        <w:spacing w:before="200" w:after="100" w:line="288" w:lineRule="auto"/>
        <w:ind w:left="90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Any fraud, whether or not material, that involves management or other employees who have a significant role in the Company’s internal control over financial reporting.</w:t>
      </w:r>
    </w:p>
    <w:tbl>
      <w:tblPr>
        <w:tblStyle w:val="TableNormal0"/>
        <w:tblW w:w="10260" w:type="dxa"/>
        <w:jc w:val="left"/>
        <w:tblInd w:w="0" w:type="dxa"/>
        <w:tblLayout w:type="fixed"/>
      </w:tblPr>
      <w:tblGrid>
        <w:gridCol w:w="2865"/>
        <w:gridCol w:w="405"/>
        <w:gridCol w:w="6990"/>
      </w:tblGrid>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Date: </w:t>
            </w:r>
            <w:r>
              <w:rPr>
                <w:rFonts w:ascii="Times New Roman" w:eastAsia="Times New Roman" w:hAnsi="Times New Roman" w:cs="Times New Roman"/>
                <w:b w:val="0"/>
                <w:i w:val="0"/>
                <w:color w:val="000000"/>
                <w:sz w:val="20"/>
                <w:u w:val="none"/>
              </w:rPr>
              <w:t>October 29, 2026</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6990"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John Pence</w:t>
            </w:r>
          </w:p>
        </w:tc>
      </w:tr>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6990"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John Pence</w:t>
            </w:r>
          </w:p>
        </w:tc>
      </w:tr>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699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Chief Financial Officer and Principal Accounting Officer</w:t>
            </w:r>
          </w:p>
        </w:tc>
      </w:tr>
    </w:tbl>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
        </w:rPr>
      </w:pPr>
    </w:p>
    <w:p>
      <w:pPr>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
        </w:rPr>
        <w:sectPr>
          <w:headerReference w:type="default" r:id="rId31"/>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135"/>
        <w:jc w:val="center"/>
        <w:outlineLvl w:val="0"/>
        <w:rPr>
          <w:rFonts w:ascii="Times New Roman" w:eastAsia="Times New Roman" w:hAnsi="Times New Roman" w:cs="Times New Roman"/>
          <w:b/>
          <w:i w:val="0"/>
          <w:sz w:val="20"/>
        </w:rPr>
      </w:pPr>
      <w:bookmarkStart w:id="40" w:name="Section41"/>
      <w:bookmarkEnd w:id="40"/>
      <w:r>
        <w:rPr>
          <w:rFonts w:ascii="Times New Roman" w:eastAsia="Times New Roman" w:hAnsi="Times New Roman" w:cs="Times New Roman"/>
          <w:b/>
          <w:i w:val="0"/>
          <w:sz w:val="20"/>
        </w:rPr>
        <w:t>CERTIFICATION OF PERIODIC REPORT</w:t>
      </w:r>
    </w:p>
    <w:p>
      <w:pPr>
        <w:keepNext w:val="0"/>
        <w:keepLines/>
        <w:pageBreakBefore w:val="0"/>
        <w:widowControl w:val="0"/>
        <w:numPr>
          <w:ilvl w:val="0"/>
          <w:numId w:val="0"/>
        </w:numPr>
        <w:spacing w:before="200" w:after="0" w:line="288" w:lineRule="auto"/>
        <w:ind w:left="0" w:right="0" w:firstLine="135"/>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PURSUANT TO SECTION 906 OF THE SARBANES-OXLEY ACT OF 2002</w:t>
      </w:r>
    </w:p>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 the undersigned, Patrick Goepel, do hereby certify, pursuant to 18 U.S.C. Section 1350, as adopted by Section 906 of the Sarbanes-Oxley Act of 2002, that:</w:t>
      </w:r>
    </w:p>
    <w:p>
      <w:pPr>
        <w:keepNext w:val="0"/>
        <w:keepLines/>
        <w:pageBreakBefore w:val="0"/>
        <w:widowControl w:val="0"/>
        <w:numPr>
          <w:ilvl w:val="0"/>
          <w:numId w:val="27"/>
        </w:numPr>
        <w:spacing w:before="200" w:after="0" w:line="288" w:lineRule="auto"/>
        <w:ind w:left="72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 annual report on Form 10-K of the Company for the period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(the “Report”) fully complies with the requirements of section 13(a) or 15(d) of the Securities Exchange Act of 1934 as amended, and</w:t>
      </w:r>
    </w:p>
    <w:p>
      <w:pPr>
        <w:keepNext w:val="0"/>
        <w:keepLines/>
        <w:pageBreakBefore w:val="0"/>
        <w:widowControl w:val="0"/>
        <w:numPr>
          <w:ilvl w:val="0"/>
          <w:numId w:val="27"/>
        </w:numPr>
        <w:spacing w:before="200" w:after="100" w:line="288" w:lineRule="auto"/>
        <w:ind w:left="72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information contained in the Report fairly presents, in all material respects, the financial condition and results of operations of the Company.</w:t>
      </w:r>
    </w:p>
    <w:tbl>
      <w:tblPr>
        <w:tblStyle w:val="TableNormal0"/>
        <w:tblW w:w="10260" w:type="dxa"/>
        <w:jc w:val="left"/>
        <w:tblInd w:w="0" w:type="dxa"/>
        <w:tblLayout w:type="fixed"/>
      </w:tblPr>
      <w:tblGrid>
        <w:gridCol w:w="2865"/>
        <w:gridCol w:w="405"/>
        <w:gridCol w:w="6990"/>
      </w:tblGrid>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Date: </w:t>
            </w:r>
            <w:r>
              <w:rPr>
                <w:rFonts w:ascii="Times New Roman" w:eastAsia="Times New Roman" w:hAnsi="Times New Roman" w:cs="Times New Roman"/>
                <w:b w:val="0"/>
                <w:i w:val="0"/>
                <w:color w:val="000000"/>
                <w:sz w:val="20"/>
                <w:u w:val="none"/>
              </w:rPr>
              <w:t>October 29, 2026</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6990"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Patrick Goepel</w:t>
            </w:r>
          </w:p>
        </w:tc>
      </w:tr>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6990"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Patrick Goepel</w:t>
            </w:r>
          </w:p>
        </w:tc>
      </w:tr>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699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Chief Executive Officer</w:t>
            </w:r>
          </w:p>
        </w:tc>
      </w:tr>
    </w:tbl>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 signed original of this written statement required by Section 906 has been provided to Asure Software, Inc. and will be retained by Asure Software, Inc. and furnished to the Securities and Exchange Commission or its staff upon request. The foregoing certification is being furnished solely pursuant to 18 U.S.C. Section 1350 and is not being filed as part of the Report or as a separate disclosure document.</w:t>
      </w:r>
    </w:p>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sectPr>
          <w:headerReference w:type="default" r:id="rId32"/>
          <w:pgSz w:w="12240" w:h="15840"/>
          <w:pgMar w:top="855" w:right="990" w:bottom="855" w:left="990" w:header="270" w:footer="270"/>
          <w:cols w:space="720"/>
        </w:sectPr>
      </w:pPr>
    </w:p>
    <w:p>
      <w:pPr>
        <w:keepNext w:val="0"/>
        <w:keepLines/>
        <w:pageBreakBefore w:val="0"/>
        <w:widowControl w:val="0"/>
        <w:numPr>
          <w:ilvl w:val="0"/>
          <w:numId w:val="0"/>
        </w:numPr>
        <w:spacing w:before="0" w:after="0" w:line="288" w:lineRule="auto"/>
        <w:ind w:left="0" w:right="0" w:firstLine="135"/>
        <w:jc w:val="center"/>
        <w:outlineLvl w:val="0"/>
        <w:rPr>
          <w:rFonts w:ascii="Times New Roman" w:eastAsia="Times New Roman" w:hAnsi="Times New Roman" w:cs="Times New Roman"/>
          <w:b/>
          <w:i w:val="0"/>
          <w:sz w:val="20"/>
        </w:rPr>
      </w:pPr>
      <w:bookmarkStart w:id="41" w:name="Section42"/>
      <w:bookmarkEnd w:id="41"/>
      <w:r>
        <w:rPr>
          <w:rFonts w:ascii="Times New Roman" w:eastAsia="Times New Roman" w:hAnsi="Times New Roman" w:cs="Times New Roman"/>
          <w:b/>
          <w:i w:val="0"/>
          <w:sz w:val="20"/>
        </w:rPr>
        <w:t>CERTIFICATION OF PERIODIC REPORT</w:t>
      </w:r>
    </w:p>
    <w:p>
      <w:pPr>
        <w:keepNext w:val="0"/>
        <w:keepLines/>
        <w:pageBreakBefore w:val="0"/>
        <w:widowControl w:val="0"/>
        <w:numPr>
          <w:ilvl w:val="0"/>
          <w:numId w:val="0"/>
        </w:numPr>
        <w:spacing w:before="200" w:after="0" w:line="288" w:lineRule="auto"/>
        <w:ind w:left="0" w:right="0" w:firstLine="135"/>
        <w:jc w:val="center"/>
        <w:outlineLvl w:val="9"/>
        <w:rPr>
          <w:rFonts w:ascii="Times New Roman" w:eastAsia="Times New Roman" w:hAnsi="Times New Roman" w:cs="Times New Roman"/>
          <w:b/>
          <w:i w:val="0"/>
          <w:sz w:val="20"/>
        </w:rPr>
      </w:pPr>
      <w:r>
        <w:rPr>
          <w:rFonts w:ascii="Times New Roman" w:eastAsia="Times New Roman" w:hAnsi="Times New Roman" w:cs="Times New Roman"/>
          <w:b/>
          <w:i w:val="0"/>
          <w:sz w:val="20"/>
        </w:rPr>
        <w:t>PURSUANT TO SECTION 906 OF THE SARBANES-OXLEY ACT OF 2002</w:t>
      </w:r>
    </w:p>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 the undersigned, John Pence, do hereby certify, pursuant to 18 U.S.C. Section 1350, as adopted by Section 906 of the Sarbanes-Oxley Act of 2002, that:</w:t>
      </w:r>
    </w:p>
    <w:p>
      <w:pPr>
        <w:keepNext w:val="0"/>
        <w:keepLines/>
        <w:pageBreakBefore w:val="0"/>
        <w:widowControl w:val="0"/>
        <w:numPr>
          <w:ilvl w:val="0"/>
          <w:numId w:val="28"/>
        </w:numPr>
        <w:spacing w:before="200" w:after="0" w:line="288" w:lineRule="auto"/>
        <w:ind w:left="72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The annual report on Form 10-K of the Company for the period ended </w:t>
      </w:r>
      <w:r>
        <w:rPr>
          <w:rFonts w:ascii="Times New Roman" w:eastAsia="Times New Roman" w:hAnsi="Times New Roman" w:cs="Times New Roman"/>
          <w:b w:val="0"/>
          <w:i w:val="0"/>
          <w:color w:val="000000"/>
          <w:sz w:val="20"/>
          <w:u w:val="none"/>
        </w:rPr>
        <w:t>September 30, 2026</w:t>
      </w:r>
      <w:r>
        <w:rPr>
          <w:rFonts w:ascii="Times New Roman" w:eastAsia="Times New Roman" w:hAnsi="Times New Roman" w:cs="Times New Roman"/>
          <w:b w:val="0"/>
          <w:i w:val="0"/>
          <w:sz w:val="20"/>
        </w:rPr>
        <w:t xml:space="preserve"> (the “Report”) fully complies with the requirements of section 13(a) or 15(d) of the Securities Exchange Act of 1934 as amended, and</w:t>
      </w:r>
    </w:p>
    <w:p>
      <w:pPr>
        <w:keepNext w:val="0"/>
        <w:keepLines/>
        <w:pageBreakBefore w:val="0"/>
        <w:widowControl w:val="0"/>
        <w:numPr>
          <w:ilvl w:val="0"/>
          <w:numId w:val="28"/>
        </w:numPr>
        <w:spacing w:before="200" w:after="100" w:line="288" w:lineRule="auto"/>
        <w:ind w:left="720" w:right="0" w:hanging="36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The information contained in the Report fairly presents, in all material respects, the financial condition and results of operations of the Company.</w:t>
      </w:r>
    </w:p>
    <w:tbl>
      <w:tblPr>
        <w:tblStyle w:val="TableNormal0"/>
        <w:tblW w:w="10260" w:type="dxa"/>
        <w:jc w:val="left"/>
        <w:tblInd w:w="0" w:type="dxa"/>
        <w:tblLayout w:type="fixed"/>
      </w:tblPr>
      <w:tblGrid>
        <w:gridCol w:w="2865"/>
        <w:gridCol w:w="405"/>
        <w:gridCol w:w="6990"/>
      </w:tblGrid>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 xml:space="preserve">Date: </w:t>
            </w:r>
            <w:r>
              <w:rPr>
                <w:rFonts w:ascii="Times New Roman" w:eastAsia="Times New Roman" w:hAnsi="Times New Roman" w:cs="Times New Roman"/>
                <w:b w:val="0"/>
                <w:i w:val="0"/>
                <w:color w:val="000000"/>
                <w:sz w:val="20"/>
                <w:u w:val="none"/>
              </w:rPr>
              <w:t>October 29, 2026</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6990" w:type="dxa"/>
            <w:tcBorders>
              <w:top w:val="nil"/>
              <w:left w:val="nil"/>
              <w:bottom w:val="single" w:sz="8" w:space="0" w:color="000000"/>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John Pence</w:t>
            </w:r>
          </w:p>
        </w:tc>
      </w:tr>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 </w:t>
            </w:r>
          </w:p>
        </w:tc>
        <w:tc>
          <w:tcPr>
            <w:tcW w:w="6990" w:type="dxa"/>
            <w:tcBorders>
              <w:top w:val="single" w:sz="8" w:space="0" w:color="000000"/>
              <w:left w:val="nil"/>
              <w:bottom w:val="nil"/>
              <w:right w:val="nil"/>
            </w:tcBorders>
            <w:tcMar>
              <w:top w:w="0" w:type="dxa"/>
              <w:left w:w="53" w:type="dxa"/>
              <w:bottom w:w="0" w:type="dxa"/>
              <w:right w:w="53" w:type="dxa"/>
            </w:tcMar>
            <w:vAlign w:val="bottom"/>
          </w:tcPr>
          <w:p>
            <w:pPr>
              <w:keepNext/>
              <w:pageBreakBefore w:val="0"/>
              <w:numPr>
                <w:ilvl w:val="0"/>
                <w:numId w:val="0"/>
              </w:numPr>
              <w:spacing w:before="33" w:after="30" w:line="240"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John Pence</w:t>
            </w:r>
          </w:p>
        </w:tc>
      </w:tr>
      <w:tr>
        <w:tblPrEx>
          <w:tblW w:w="10260" w:type="dxa"/>
          <w:tblInd w:w="0" w:type="dxa"/>
          <w:tblLayout w:type="fixed"/>
        </w:tblPrEx>
        <w:trPr>
          <w:trHeight w:hRule="exact" w:val="285"/>
        </w:trPr>
        <w:tc>
          <w:tcPr>
            <w:tcW w:w="286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40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 </w:t>
            </w:r>
          </w:p>
        </w:tc>
        <w:tc>
          <w:tcPr>
            <w:tcW w:w="699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Chief Financial Officer and Principal Accounting Officer</w:t>
            </w:r>
          </w:p>
        </w:tc>
      </w:tr>
    </w:tbl>
    <w:p>
      <w:pPr>
        <w:keepNext w:val="0"/>
        <w:keepLines/>
        <w:pageBreakBefore w:val="0"/>
        <w:widowControl w:val="0"/>
        <w:numPr>
          <w:ilvl w:val="0"/>
          <w:numId w:val="0"/>
        </w:numPr>
        <w:spacing w:before="200" w:after="0" w:line="288" w:lineRule="auto"/>
        <w:ind w:left="0" w:right="0" w:firstLine="0"/>
        <w:jc w:val="both"/>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A signed original of this written statement required by Section 906 has been provided to Asure Software, Inc. and will be retained by Asure Software, Inc. and furnished to the Securities and Exchange Commission or its staff upon request. The foregoing certification is being furnished solely pursuant to 18 U.S.C. Section 1350 and is not being filed as part of the Report or as a separate disclosure document.</w:t>
      </w:r>
    </w:p>
    <w:p>
      <w:pPr>
        <w:keepNext w:val="0"/>
        <w:keepLines/>
        <w:pageBreakBefore w:val="0"/>
        <w:widowControl w:val="0"/>
        <w:numPr>
          <w:ilvl w:val="0"/>
          <w:numId w:val="0"/>
        </w:numPr>
        <w:spacing w:before="200" w:after="0" w:line="288" w:lineRule="auto"/>
        <w:ind w:left="0" w:right="0" w:firstLine="135"/>
        <w:jc w:val="left"/>
        <w:outlineLvl w:val="9"/>
        <w:rPr>
          <w:rFonts w:ascii="Times New Roman" w:eastAsia="Times New Roman" w:hAnsi="Times New Roman" w:cs="Times New Roman"/>
          <w:b w:val="0"/>
          <w:i w:val="0"/>
          <w:sz w:val="20"/>
        </w:rPr>
      </w:pPr>
    </w:p>
    <w:sectPr>
      <w:headerReference w:type="default" r:id="rId33"/>
      <w:pgSz w:w="12240" w:h="15840"/>
      <w:pgMar w:top="855" w:right="990" w:bottom="855" w:left="990" w:header="270" w:footer="27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630" w:right="630" w:firstLine="0"/>
      <w:jc w:val="center"/>
      <w:outlineLvl w:val="9"/>
      <w:rPr>
        <w:rFonts w:ascii="Times New Roman" w:eastAsia="Times New Roman" w:hAnsi="Times New Roman" w:cs="Times New Roman"/>
        <w:b w:val="0"/>
        <w:i w:val="0"/>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630" w:right="630" w:firstLine="0"/>
      <w:jc w:val="left"/>
      <w:outlineLvl w:val="9"/>
      <w:rPr>
        <w:rFonts w:ascii="Times New Roman" w:eastAsia="Times New Roman" w:hAnsi="Times New Roman" w:cs="Times New Roman"/>
        <w:b w:val="0"/>
        <w:i w:val="0"/>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fldChar w:fldCharType="begin"/>
    </w:r>
    <w:r>
      <w:rPr>
        <w:rFonts w:ascii="Times New Roman" w:eastAsia="Times New Roman" w:hAnsi="Times New Roman" w:cs="Times New Roman"/>
        <w:b w:val="0"/>
        <w:i w:val="0"/>
        <w:sz w:val="20"/>
      </w:rPr>
      <w:instrText xml:space="preserve"> PAGE </w:instrText>
    </w:r>
    <w:r>
      <w:rPr>
        <w:rFonts w:ascii="Times New Roman" w:eastAsia="Times New Roman" w:hAnsi="Times New Roman" w:cs="Times New Roman"/>
        <w:b w:val="0"/>
        <w:i w:val="0"/>
        <w:sz w:val="20"/>
      </w:rPr>
      <w:fldChar w:fldCharType="separate"/>
    </w:r>
    <w:r>
      <w:rPr>
        <w:rFonts w:ascii="Times New Roman" w:eastAsia="Times New Roman" w:hAnsi="Times New Roman" w:cs="Times New Roman"/>
        <w:b w:val="0"/>
        <w:i w:val="0"/>
        <w:sz w:val="20"/>
      </w:rPr>
      <w:t>1</w:t>
    </w:r>
    <w:r>
      <w:rPr>
        <w:rFonts w:ascii="Times New Roman" w:eastAsia="Times New Roman" w:hAnsi="Times New Roman" w:cs="Times New Roman"/>
        <w:b w:val="0"/>
        <w:i w:val="0"/>
        <w:sz w:val="20"/>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fldChar w:fldCharType="begin"/>
    </w:r>
    <w:r>
      <w:rPr>
        <w:rFonts w:ascii="Times New Roman" w:eastAsia="Times New Roman" w:hAnsi="Times New Roman" w:cs="Times New Roman"/>
        <w:b w:val="0"/>
        <w:i w:val="0"/>
        <w:sz w:val="20"/>
      </w:rPr>
      <w:instrText xml:space="preserve"> PAGE </w:instrText>
    </w:r>
    <w:r>
      <w:rPr>
        <w:rFonts w:ascii="Times New Roman" w:eastAsia="Times New Roman" w:hAnsi="Times New Roman" w:cs="Times New Roman"/>
        <w:b w:val="0"/>
        <w:i w:val="0"/>
        <w:sz w:val="20"/>
      </w:rPr>
      <w:fldChar w:fldCharType="separate"/>
    </w:r>
    <w:r>
      <w:rPr>
        <w:rFonts w:ascii="Times New Roman" w:eastAsia="Times New Roman" w:hAnsi="Times New Roman" w:cs="Times New Roman"/>
        <w:b w:val="0"/>
        <w:i w:val="0"/>
        <w:sz w:val="20"/>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center"/>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fldChar w:fldCharType="begin"/>
    </w:r>
    <w:r>
      <w:rPr>
        <w:rFonts w:ascii="Times New Roman" w:eastAsia="Times New Roman" w:hAnsi="Times New Roman" w:cs="Times New Roman"/>
        <w:b w:val="0"/>
        <w:i w:val="0"/>
        <w:sz w:val="20"/>
      </w:rPr>
      <w:instrText xml:space="preserve"> PAGE </w:instrText>
    </w:r>
    <w:r>
      <w:rPr>
        <w:rFonts w:ascii="Times New Roman" w:eastAsia="Times New Roman" w:hAnsi="Times New Roman" w:cs="Times New Roman"/>
        <w:b w:val="0"/>
        <w:i w:val="0"/>
        <w:sz w:val="20"/>
      </w:rPr>
      <w:fldChar w:fldCharType="separate"/>
    </w:r>
    <w:r>
      <w:rPr>
        <w:rFonts w:ascii="Times New Roman" w:eastAsia="Times New Roman" w:hAnsi="Times New Roman" w:cs="Times New Roman"/>
        <w:b w:val="0"/>
        <w:i w:val="0"/>
        <w:sz w:val="20"/>
      </w:rPr>
      <w:t>36</w:t>
    </w:r>
    <w:r>
      <w:rPr>
        <w:rFonts w:ascii="Times New Roman" w:eastAsia="Times New Roman" w:hAnsi="Times New Roman" w:cs="Times New Roman"/>
        <w:b w:val="0"/>
        <w:i w:val="0"/>
        <w:sz w:val="20"/>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630" w:right="630" w:firstLine="0"/>
      <w:jc w:val="left"/>
      <w:outlineLvl w:val="9"/>
      <w:rPr>
        <w:rFonts w:ascii="Times New Roman" w:eastAsia="Times New Roman" w:hAnsi="Times New Roman" w:cs="Times New Roman"/>
        <w:b w:val="0"/>
        <w:i w:val="0"/>
        <w:sz w:val="20"/>
      </w:rPr>
    </w:pPr>
  </w:p>
  <w:p>
    <w:pPr>
      <w:keepNext w:val="0"/>
      <w:keepLines/>
      <w:pageBreakBefore w:val="0"/>
      <w:widowControl w:val="0"/>
      <w:numPr>
        <w:ilvl w:val="0"/>
        <w:numId w:val="0"/>
      </w:numPr>
      <w:spacing w:before="0" w:after="0" w:line="288" w:lineRule="auto"/>
      <w:ind w:left="630" w:right="630" w:firstLine="0"/>
      <w:jc w:val="center"/>
      <w:outlineLvl w:val="9"/>
      <w:rPr>
        <w:rFonts w:ascii="Times New Roman" w:eastAsia="Times New Roman" w:hAnsi="Times New Roman" w:cs="Times New Roman"/>
        <w:b w:val="0"/>
        <w:i w:val="0"/>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630" w:right="630" w:firstLine="0"/>
      <w:jc w:val="left"/>
      <w:outlineLvl w:val="9"/>
      <w:rPr>
        <w:rFonts w:ascii="Times New Roman" w:eastAsia="Times New Roman" w:hAnsi="Times New Roman" w:cs="Times New Roman"/>
        <w:b w:val="0"/>
        <w:i w:val="0"/>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ormal-wk"/>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shd w:val="clear" w:color="auto" w:fill="auto"/>
      </w:rPr>
    </w:pPr>
    <w:hyperlink w:anchor="Section2" w:history="1">
      <w:r>
        <w:rPr>
          <w:rFonts w:ascii="Times New Roman" w:eastAsia="Times New Roman" w:hAnsi="Times New Roman" w:cs="Times New Roman"/>
          <w:b w:val="0"/>
          <w:i w:val="0"/>
          <w:color w:val="0000FF"/>
          <w:sz w:val="20"/>
          <w:u w:val="single"/>
          <w:shd w:val="clear" w:color="auto" w:fill="auto"/>
        </w:rPr>
        <w:t>Table of Contents</w:t>
      </w:r>
    </w:hyperlink>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ormal-wk"/>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shd w:val="clear" w:color="auto" w:fill="auto"/>
      </w:rPr>
    </w:pPr>
    <w:hyperlink w:anchor="Section2" w:history="1">
      <w:r>
        <w:rPr>
          <w:rFonts w:ascii="Times New Roman" w:eastAsia="Times New Roman" w:hAnsi="Times New Roman" w:cs="Times New Roman"/>
          <w:b w:val="0"/>
          <w:i w:val="0"/>
          <w:color w:val="0000FF"/>
          <w:sz w:val="20"/>
          <w:u w:val="single"/>
          <w:shd w:val="clear" w:color="auto" w:fill="auto"/>
        </w:rPr>
        <w:t>Table of Contents</w:t>
      </w:r>
    </w:hyperlink>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ormal-wk"/>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shd w:val="clear" w:color="auto" w:fill="auto"/>
      </w:rPr>
    </w:pPr>
    <w:hyperlink w:anchor="Section2" w:history="1">
      <w:r>
        <w:rPr>
          <w:rFonts w:ascii="Times New Roman" w:eastAsia="Times New Roman" w:hAnsi="Times New Roman" w:cs="Times New Roman"/>
          <w:b w:val="0"/>
          <w:i w:val="0"/>
          <w:color w:val="0000FF"/>
          <w:sz w:val="20"/>
          <w:u w:val="single"/>
          <w:shd w:val="clear" w:color="auto" w:fill="auto"/>
        </w:rPr>
        <w:t>Table of Contents</w:t>
      </w:r>
    </w:hyperlink>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ormal-wk"/>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shd w:val="clear" w:color="auto" w:fill="auto"/>
      </w:rPr>
    </w:pPr>
    <w:hyperlink w:anchor="Section2" w:history="1">
      <w:r>
        <w:rPr>
          <w:rFonts w:ascii="Times New Roman" w:eastAsia="Times New Roman" w:hAnsi="Times New Roman" w:cs="Times New Roman"/>
          <w:b w:val="0"/>
          <w:i w:val="0"/>
          <w:color w:val="0000FF"/>
          <w:sz w:val="20"/>
          <w:u w:val="single"/>
          <w:shd w:val="clear" w:color="auto" w:fill="auto"/>
        </w:rPr>
        <w:t>Table of Contents</w:t>
      </w:r>
    </w:hyperlink>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Normal-wk"/>
      <w:keepNext w:val="0"/>
      <w:keepLines/>
      <w:pageBreakBefore w:val="0"/>
      <w:widowControl w:val="0"/>
      <w:numPr>
        <w:ilvl w:val="0"/>
        <w:numId w:val="0"/>
      </w:numPr>
      <w:spacing w:before="0" w:after="0" w:line="288" w:lineRule="auto"/>
      <w:ind w:left="0" w:right="0" w:firstLine="0"/>
      <w:jc w:val="left"/>
      <w:outlineLvl w:val="9"/>
      <w:rPr>
        <w:rFonts w:ascii="Times New Roman" w:eastAsia="Times New Roman" w:hAnsi="Times New Roman" w:cs="Times New Roman"/>
        <w:b w:val="0"/>
        <w:i w:val="0"/>
        <w:sz w:val="20"/>
        <w:shd w:val="clear" w:color="auto" w:fill="auto"/>
      </w:rPr>
    </w:pPr>
    <w:hyperlink w:anchor="Section2" w:history="1">
      <w:r>
        <w:rPr>
          <w:rFonts w:ascii="Times New Roman" w:eastAsia="Times New Roman" w:hAnsi="Times New Roman" w:cs="Times New Roman"/>
          <w:b w:val="0"/>
          <w:i w:val="0"/>
          <w:color w:val="0000FF"/>
          <w:sz w:val="20"/>
          <w:u w:val="single"/>
          <w:shd w:val="clear" w:color="auto" w:fill="auto"/>
        </w:rPr>
        <w:t>Table of Contents</w:t>
      </w:r>
    </w:hyperlink>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right"/>
      <w:outlineLvl w:val="0"/>
      <w:rPr>
        <w:rFonts w:ascii="Times New Roman" w:eastAsia="Times New Roman" w:hAnsi="Times New Roman" w:cs="Times New Roman"/>
        <w:b w:val="0"/>
        <w:i w:val="0"/>
        <w:sz w:val="20"/>
      </w:rPr>
    </w:pPr>
    <w:r>
      <w:rPr>
        <w:rFonts w:ascii="Times New Roman" w:eastAsia="Times New Roman" w:hAnsi="Times New Roman" w:cs="Times New Roman"/>
        <w:b/>
        <w:i w:val="0"/>
        <w:sz w:val="20"/>
      </w:rPr>
      <w:t>EXHIB</w:t>
    </w:r>
    <w:r>
      <w:rPr>
        <w:rFonts w:ascii="Times New Roman" w:eastAsia="Times New Roman" w:hAnsi="Times New Roman" w:cs="Times New Roman"/>
        <w:b/>
        <w:i w:val="0"/>
        <w:sz w:val="20"/>
      </w:rPr>
      <w:t>IT 31.1</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right"/>
      <w:outlineLvl w:val="0"/>
      <w:rPr>
        <w:rFonts w:ascii="Times New Roman" w:eastAsia="Times New Roman" w:hAnsi="Times New Roman" w:cs="Times New Roman"/>
        <w:b w:val="0"/>
        <w:i w:val="0"/>
        <w:sz w:val="20"/>
      </w:rPr>
    </w:pPr>
    <w:r>
      <w:rPr>
        <w:rFonts w:ascii="Times New Roman" w:eastAsia="Times New Roman" w:hAnsi="Times New Roman" w:cs="Times New Roman"/>
        <w:b/>
        <w:i w:val="0"/>
        <w:sz w:val="20"/>
      </w:rPr>
      <w:t>EXHIBIT 31.</w:t>
    </w:r>
    <w:r>
      <w:rPr>
        <w:rFonts w:ascii="Times New Roman" w:eastAsia="Times New Roman" w:hAnsi="Times New Roman" w:cs="Times New Roman"/>
        <w:b/>
        <w:i w:val="0"/>
        <w:sz w:val="20"/>
      </w:rPr>
      <w:t>2</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right"/>
      <w:outlineLvl w:val="0"/>
      <w:rPr>
        <w:rFonts w:ascii="Times New Roman" w:eastAsia="Times New Roman" w:hAnsi="Times New Roman" w:cs="Times New Roman"/>
        <w:b w:val="0"/>
        <w:i w:val="0"/>
        <w:sz w:val="20"/>
      </w:rPr>
    </w:pPr>
    <w:r>
      <w:rPr>
        <w:rFonts w:ascii="Times New Roman" w:eastAsia="Times New Roman" w:hAnsi="Times New Roman" w:cs="Times New Roman"/>
        <w:b/>
        <w:i w:val="0"/>
        <w:sz w:val="20"/>
      </w:rPr>
      <w:t>EXHIBIT 3</w:t>
    </w:r>
    <w:r>
      <w:rPr>
        <w:rFonts w:ascii="Times New Roman" w:eastAsia="Times New Roman" w:hAnsi="Times New Roman" w:cs="Times New Roman"/>
        <w:b/>
        <w:i w:val="0"/>
        <w:sz w:val="20"/>
      </w:rPr>
      <w:t>2</w:t>
    </w:r>
    <w:r>
      <w:rPr>
        <w:rFonts w:ascii="Times New Roman" w:eastAsia="Times New Roman" w:hAnsi="Times New Roman" w:cs="Times New Roman"/>
        <w:b/>
        <w:i w:val="0"/>
        <w:sz w:val="20"/>
      </w:rPr>
      <w:t>.1</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pageBreakBefore w:val="0"/>
      <w:widowControl w:val="0"/>
      <w:numPr>
        <w:ilvl w:val="0"/>
        <w:numId w:val="0"/>
      </w:numPr>
      <w:spacing w:before="0" w:after="0" w:line="288" w:lineRule="auto"/>
      <w:ind w:left="0" w:right="0" w:firstLine="0"/>
      <w:jc w:val="right"/>
      <w:outlineLvl w:val="0"/>
      <w:rPr>
        <w:rFonts w:ascii="Times New Roman" w:eastAsia="Times New Roman" w:hAnsi="Times New Roman" w:cs="Times New Roman"/>
        <w:b w:val="0"/>
        <w:i w:val="0"/>
        <w:sz w:val="20"/>
      </w:rPr>
    </w:pPr>
    <w:r>
      <w:rPr>
        <w:rFonts w:ascii="Times New Roman" w:eastAsia="Times New Roman" w:hAnsi="Times New Roman" w:cs="Times New Roman"/>
        <w:b/>
        <w:i w:val="0"/>
        <w:sz w:val="20"/>
      </w:rPr>
      <w:t>EXHIBIT 3</w:t>
    </w:r>
    <w:r>
      <w:rPr>
        <w:rFonts w:ascii="Times New Roman" w:eastAsia="Times New Roman" w:hAnsi="Times New Roman" w:cs="Times New Roman"/>
        <w:b/>
        <w:i w:val="0"/>
        <w:sz w:val="20"/>
      </w:rPr>
      <w:t>2</w:t>
    </w:r>
    <w:r>
      <w:rPr>
        <w:rFonts w:ascii="Times New Roman" w:eastAsia="Times New Roman" w:hAnsi="Times New Roman" w:cs="Times New Roman"/>
        <w:b/>
        <w:i w:val="0"/>
        <w:sz w:val="20"/>
      </w:rPr>
      <w:t>.</w:t>
    </w:r>
    <w:r>
      <w:rPr>
        <w:rFonts w:ascii="Times New Roman" w:eastAsia="Times New Roman" w:hAnsi="Times New Roman" w:cs="Times New Roman"/>
        <w:b/>
        <w:i w:val="0"/>
        <w:sz w:val="20"/>
      </w:rPr>
      <w:t>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styleLink w:val="bulletasterisk"/>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nsid w:val="00000002"/>
    <w:multiLevelType w:val="multilevel"/>
    <w:tmpl w:val="00000002"/>
    <w:styleLink w:val="bulletcircl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2">
    <w:nsid w:val="00000003"/>
    <w:multiLevelType w:val="multilevel"/>
    <w:tmpl w:val="00000003"/>
    <w:styleLink w:val="bulletdagger"/>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3">
    <w:nsid w:val="00000004"/>
    <w:multiLevelType w:val="multilevel"/>
    <w:tmpl w:val="00000004"/>
    <w:styleLink w:val="bulletdash"/>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4">
    <w:nsid w:val="00000005"/>
    <w:multiLevelType w:val="multilevel"/>
    <w:tmpl w:val="00000005"/>
    <w:styleLink w:val="bulletlargebox"/>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nsid w:val="00000006"/>
    <w:multiLevelType w:val="multilevel"/>
    <w:tmpl w:val="00000006"/>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nsid w:val="00000007"/>
    <w:multiLevelType w:val="multilevel"/>
    <w:tmpl w:val="00000007"/>
    <w:styleLink w:val="bulletsquare"/>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7">
    <w:nsid w:val="00000008"/>
    <w:multiLevelType w:val="multilevel"/>
    <w:tmpl w:val="00000008"/>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9"/>
    <w:multiLevelType w:val="multilevel"/>
    <w:tmpl w:val="00000009"/>
    <w:styleLink w:val="listlatinlowercase"/>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9">
    <w:nsid w:val="0000000A"/>
    <w:multiLevelType w:val="multilevel"/>
    <w:tmpl w:val="0000000A"/>
    <w:styleLink w:val="listlatinuppercase"/>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0B"/>
    <w:multiLevelType w:val="multilevel"/>
    <w:tmpl w:val="0000000B"/>
    <w:styleLink w:val="listromanlowercase"/>
    <w:lvl w:ilvl="0">
      <w:start w:val="1"/>
      <w:numFmt w:val="lowerRoman"/>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180"/>
      </w:pPr>
    </w:lvl>
    <w:lvl w:ilvl="3">
      <w:start w:val="1"/>
      <w:numFmt w:val="lowerRoman"/>
      <w:lvlText w:val="%4."/>
      <w:lvlJc w:val="righ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tabs>
          <w:tab w:val="num" w:pos="4320"/>
        </w:tabs>
        <w:ind w:left="4320" w:hanging="180"/>
      </w:pPr>
    </w:lvl>
    <w:lvl w:ilvl="6">
      <w:start w:val="1"/>
      <w:numFmt w:val="lowerRoman"/>
      <w:lvlText w:val="%7."/>
      <w:lvlJc w:val="right"/>
      <w:pPr>
        <w:tabs>
          <w:tab w:val="num" w:pos="5040"/>
        </w:tabs>
        <w:ind w:left="5040" w:hanging="360"/>
      </w:pPr>
    </w:lvl>
    <w:lvl w:ilvl="7">
      <w:start w:val="1"/>
      <w:numFmt w:val="decimal"/>
      <w:lvlText w:val="%8."/>
      <w:lvlJc w:val="left"/>
      <w:pPr>
        <w:tabs>
          <w:tab w:val="num" w:pos="5760"/>
        </w:tabs>
        <w:ind w:left="5760" w:hanging="360"/>
      </w:pPr>
    </w:lvl>
    <w:lvl w:ilvl="8">
      <w:start w:val="1"/>
      <w:numFmt w:val="lowerLetter"/>
      <w:lvlText w:val="%9."/>
      <w:lvlJc w:val="left"/>
      <w:pPr>
        <w:tabs>
          <w:tab w:val="num" w:pos="6480"/>
        </w:tabs>
        <w:ind w:left="6480" w:hanging="180"/>
      </w:pPr>
    </w:lvl>
  </w:abstractNum>
  <w:abstractNum w:abstractNumId="11">
    <w:nsid w:val="0000000C"/>
    <w:multiLevelType w:val="multilevel"/>
    <w:tmpl w:val="0000000C"/>
    <w:styleLink w:val="listromanuppercase"/>
    <w:lvl w:ilvl="0">
      <w:start w:val="1"/>
      <w:numFmt w:val="upperRoman"/>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2">
    <w:nsid w:val="0000000D"/>
    <w:multiLevelType w:val="multilevel"/>
    <w:tmpl w:val="0000000D"/>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13">
    <w:nsid w:val="0000000E"/>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color w:val="000000"/>
        <w:sz w:val="16"/>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F"/>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color w:val="000000"/>
        <w:sz w:val="16"/>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00000010"/>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color w:val="000000"/>
        <w:sz w:val="16"/>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00000011"/>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color w:val="000000"/>
        <w:sz w:val="16"/>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0000012"/>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3"/>
    <w:multiLevelType w:val="multilevel"/>
    <w:tmpl w:val="00000009"/>
    <w:lvl w:ilvl="0">
      <w:start w:val="1"/>
      <w:numFmt w:val="lowerLetter"/>
      <w:lvlText w:val="(%1)"/>
      <w:lvlJc w:val="left"/>
      <w:pPr>
        <w:tabs>
          <w:tab w:val="num" w:pos="720"/>
        </w:tabs>
        <w:ind w:left="720" w:hanging="360"/>
      </w:pPr>
      <w:rPr>
        <w:rFonts w:ascii="Times New Roman" w:eastAsia="Times New Roman" w:hAnsi="Times New Roman" w:cs="Times New Roman"/>
        <w:b w:val="0"/>
        <w:i w:val="0"/>
        <w:strike w:val="0"/>
        <w:sz w:val="2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19">
    <w:nsid w:val="00000014"/>
    <w:multiLevelType w:val="multilevel"/>
    <w:tmpl w:val="00000008"/>
    <w:lvl w:ilvl="0">
      <w:start w:val="1"/>
      <w:numFmt w:val="decimal"/>
      <w:lvlText w:val="(%1)"/>
      <w:lvlJc w:val="left"/>
      <w:pPr>
        <w:tabs>
          <w:tab w:val="num" w:pos="1440"/>
        </w:tabs>
        <w:ind w:left="720" w:hanging="360"/>
      </w:pPr>
      <w:rPr>
        <w:rFonts w:ascii="Times New Roman" w:eastAsia="Times New Roman" w:hAnsi="Times New Roman" w:cs="Times New Roman"/>
        <w:b w:val="0"/>
        <w:i w:val="0"/>
        <w:strike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00000015"/>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00000016"/>
    <w:multiLevelType w:val="multilevel"/>
    <w:tmpl w:val="00000009"/>
    <w:lvl w:ilvl="0">
      <w:start w:val="1"/>
      <w:numFmt w:val="lowerLetter"/>
      <w:lvlText w:val="(%1)"/>
      <w:lvlJc w:val="left"/>
      <w:pPr>
        <w:tabs>
          <w:tab w:val="num" w:pos="900"/>
        </w:tabs>
        <w:ind w:left="720" w:hanging="360"/>
      </w:pPr>
      <w:rPr>
        <w:rFonts w:ascii="Times New Roman" w:eastAsia="Times New Roman" w:hAnsi="Times New Roman" w:cs="Times New Roman"/>
        <w:b w:val="0"/>
        <w:i w:val="0"/>
        <w:strike w:val="0"/>
        <w:sz w:val="2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22">
    <w:nsid w:val="00000017"/>
    <w:multiLevelType w:val="multilevel"/>
    <w:tmpl w:val="00000009"/>
    <w:lvl w:ilvl="0">
      <w:start w:val="1"/>
      <w:numFmt w:val="lowerLetter"/>
      <w:lvlText w:val="(%1)"/>
      <w:lvlJc w:val="left"/>
      <w:pPr>
        <w:tabs>
          <w:tab w:val="num" w:pos="900"/>
        </w:tabs>
        <w:ind w:left="720" w:hanging="360"/>
      </w:pPr>
      <w:rPr>
        <w:rFonts w:ascii="Times New Roman" w:eastAsia="Times New Roman" w:hAnsi="Times New Roman" w:cs="Times New Roman"/>
        <w:b w:val="0"/>
        <w:i w:val="0"/>
        <w:strike w:val="0"/>
        <w:sz w:val="2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23">
    <w:nsid w:val="00000018"/>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00000019"/>
    <w:multiLevelType w:val="multilevel"/>
    <w:tmpl w:val="00000009"/>
    <w:lvl w:ilvl="0">
      <w:start w:val="1"/>
      <w:numFmt w:val="lowerLetter"/>
      <w:lvlText w:val="(%1)"/>
      <w:lvlJc w:val="left"/>
      <w:pPr>
        <w:tabs>
          <w:tab w:val="num" w:pos="900"/>
        </w:tabs>
        <w:ind w:left="720" w:hanging="360"/>
      </w:pPr>
      <w:rPr>
        <w:rFonts w:ascii="Times New Roman" w:eastAsia="Times New Roman" w:hAnsi="Times New Roman" w:cs="Times New Roman"/>
        <w:b w:val="0"/>
        <w:i w:val="0"/>
        <w:strike w:val="0"/>
        <w:sz w:val="2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25">
    <w:nsid w:val="0000001A"/>
    <w:multiLevelType w:val="multilevel"/>
    <w:tmpl w:val="00000009"/>
    <w:lvl w:ilvl="0">
      <w:start w:val="1"/>
      <w:numFmt w:val="lowerLetter"/>
      <w:lvlText w:val="(%1)"/>
      <w:lvlJc w:val="left"/>
      <w:pPr>
        <w:tabs>
          <w:tab w:val="num" w:pos="900"/>
        </w:tabs>
        <w:ind w:left="720" w:hanging="360"/>
      </w:pPr>
      <w:rPr>
        <w:rFonts w:ascii="Times New Roman" w:eastAsia="Times New Roman" w:hAnsi="Times New Roman" w:cs="Times New Roman"/>
        <w:b w:val="0"/>
        <w:i w:val="0"/>
        <w:strike w:val="0"/>
        <w:sz w:val="20"/>
      </w:r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180"/>
      </w:pPr>
    </w:lvl>
    <w:lvl w:ilvl="3">
      <w:start w:val="1"/>
      <w:numFmt w:val="lowerLetter"/>
      <w:lvlText w:val="%4."/>
      <w:lvlJc w:val="left"/>
      <w:pPr>
        <w:tabs>
          <w:tab w:val="num" w:pos="2880"/>
        </w:tabs>
        <w:ind w:left="2880" w:hanging="360"/>
      </w:pPr>
    </w:lvl>
    <w:lvl w:ilvl="4">
      <w:start w:val="1"/>
      <w:numFmt w:val="lowerRoman"/>
      <w:lvlText w:val="%5."/>
      <w:lvlJc w:val="right"/>
      <w:pPr>
        <w:tabs>
          <w:tab w:val="num" w:pos="3600"/>
        </w:tabs>
        <w:ind w:left="3600" w:hanging="360"/>
      </w:pPr>
    </w:lvl>
    <w:lvl w:ilvl="5">
      <w:start w:val="1"/>
      <w:numFmt w:val="decimal"/>
      <w:lvlText w:val="%6."/>
      <w:lvlJc w:val="left"/>
      <w:pPr>
        <w:tabs>
          <w:tab w:val="num" w:pos="4320"/>
        </w:tabs>
        <w:ind w:left="4320" w:hanging="180"/>
      </w:pPr>
    </w:lvl>
    <w:lvl w:ilvl="6">
      <w:start w:val="1"/>
      <w:numFmt w:val="lowerLetter"/>
      <w:lvlText w:val="%7."/>
      <w:lvlJc w:val="left"/>
      <w:pPr>
        <w:tabs>
          <w:tab w:val="num" w:pos="5040"/>
        </w:tabs>
        <w:ind w:left="5040" w:hanging="360"/>
      </w:pPr>
    </w:lvl>
    <w:lvl w:ilvl="7">
      <w:start w:val="1"/>
      <w:numFmt w:val="lowerRoman"/>
      <w:lvlText w:val="%8."/>
      <w:lvlJc w:val="right"/>
      <w:pPr>
        <w:tabs>
          <w:tab w:val="num" w:pos="5760"/>
        </w:tabs>
        <w:ind w:left="5760" w:hanging="360"/>
      </w:pPr>
    </w:lvl>
    <w:lvl w:ilvl="8">
      <w:start w:val="1"/>
      <w:numFmt w:val="decimal"/>
      <w:lvlText w:val="%9."/>
      <w:lvlJc w:val="left"/>
      <w:pPr>
        <w:tabs>
          <w:tab w:val="num" w:pos="6480"/>
        </w:tabs>
        <w:ind w:left="6480" w:hanging="180"/>
      </w:pPr>
    </w:lvl>
  </w:abstractNum>
  <w:abstractNum w:abstractNumId="26">
    <w:nsid w:val="0000001B"/>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0000001C"/>
    <w:multiLevelType w:val="multilevel"/>
    <w:tmpl w:val="00000008"/>
    <w:lvl w:ilvl="0">
      <w:start w:val="1"/>
      <w:numFmt w:val="decimal"/>
      <w:lvlText w:val="%1."/>
      <w:lvlJc w:val="left"/>
      <w:pPr>
        <w:tabs>
          <w:tab w:val="num" w:pos="720"/>
        </w:tabs>
        <w:ind w:left="720" w:hanging="360"/>
      </w:pPr>
      <w:rPr>
        <w:rFonts w:ascii="Times New Roman" w:eastAsia="Times New Roman" w:hAnsi="Times New Roman" w:cs="Times New Roman"/>
        <w:b w:val="0"/>
        <w:i w:val="0"/>
        <w:strike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noLeading/>
    <w:suppressTopSpacingWP/>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Calibri Light" w:eastAsia="Times New Roman" w:hAnsi="Calibri Light" w:cs="Times New Roman"/>
      <w:color w:val="2F5496" w:themeShade="BF"/>
      <w:sz w:val="32"/>
      <w:szCs w:val="32"/>
    </w:rPr>
  </w:style>
  <w:style w:type="paragraph" w:styleId="Heading2">
    <w:name w:val="heading 2"/>
    <w:basedOn w:val="Normal"/>
    <w:next w:val="Normal"/>
    <w:link w:val="Heading2Char"/>
    <w:uiPriority w:val="9"/>
    <w:qFormat/>
    <w:rsid w:val="00506D7A"/>
    <w:pPr>
      <w:keepNext/>
      <w:keepLines/>
      <w:spacing w:before="40" w:after="0"/>
      <w:outlineLvl w:val="1"/>
    </w:pPr>
    <w:rPr>
      <w:rFonts w:ascii="Calibri Light" w:eastAsia="Times New Roman" w:hAnsi="Calibri Light" w:cs="Times New Roman"/>
      <w:color w:val="2F5496" w:themeShade="BF"/>
      <w:sz w:val="26"/>
      <w:szCs w:val="26"/>
    </w:rPr>
  </w:style>
  <w:style w:type="paragraph" w:styleId="Heading3">
    <w:name w:val="heading 3"/>
    <w:basedOn w:val="Normal"/>
    <w:next w:val="Normal"/>
    <w:link w:val="Heading3Char"/>
    <w:uiPriority w:val="9"/>
    <w:qFormat/>
    <w:rsid w:val="00506D7A"/>
    <w:pPr>
      <w:keepNext/>
      <w:keepLines/>
      <w:spacing w:before="40" w:after="0"/>
      <w:outlineLvl w:val="2"/>
    </w:pPr>
    <w:rPr>
      <w:rFonts w:ascii="Calibri Light" w:eastAsia="Times New Roman" w:hAnsi="Calibri Light" w:cs="Times New Roman"/>
      <w:color w:val="1F3763" w:themeShade="7F"/>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asterisk">
    <w:name w:val="bullet.asterisk"/>
    <w:pPr>
      <w:numPr>
        <w:numId w:val="1"/>
      </w:numPr>
    </w:pPr>
  </w:style>
  <w:style w:type="numbering" w:customStyle="1" w:styleId="bulletcircle">
    <w:name w:val="bullet.circle"/>
    <w:pPr>
      <w:numPr>
        <w:numId w:val="2"/>
      </w:numPr>
    </w:pPr>
  </w:style>
  <w:style w:type="numbering" w:customStyle="1" w:styleId="bulletdagger">
    <w:name w:val="bullet.dagger"/>
    <w:pPr>
      <w:numPr>
        <w:numId w:val="3"/>
      </w:numPr>
    </w:pPr>
  </w:style>
  <w:style w:type="numbering" w:customStyle="1" w:styleId="bulletdash">
    <w:name w:val="bullet.dash"/>
    <w:pPr>
      <w:numPr>
        <w:numId w:val="4"/>
      </w:numPr>
    </w:pPr>
  </w:style>
  <w:style w:type="numbering" w:customStyle="1" w:styleId="bulletlargebox">
    <w:name w:val="bullet.largebox"/>
    <w:pPr>
      <w:numPr>
        <w:numId w:val="5"/>
      </w:numPr>
    </w:pPr>
  </w:style>
  <w:style w:type="numbering" w:customStyle="1" w:styleId="bulletround">
    <w:name w:val="bullet.round"/>
    <w:pPr>
      <w:numPr>
        <w:numId w:val="6"/>
      </w:numPr>
    </w:pPr>
  </w:style>
  <w:style w:type="numbering" w:customStyle="1" w:styleId="bulletsquare">
    <w:name w:val="bullet.square"/>
    <w:pPr>
      <w:numPr>
        <w:numId w:val="7"/>
      </w:numPr>
    </w:pPr>
  </w:style>
  <w:style w:type="numbering" w:customStyle="1" w:styleId="listarabic">
    <w:name w:val="list.arabic"/>
    <w:pPr>
      <w:numPr>
        <w:numId w:val="8"/>
      </w:numPr>
    </w:pPr>
  </w:style>
  <w:style w:type="numbering" w:customStyle="1" w:styleId="listlatinlowercase">
    <w:name w:val="list.latin.lowercase"/>
    <w:pPr>
      <w:numPr>
        <w:numId w:val="9"/>
      </w:numPr>
    </w:pPr>
  </w:style>
  <w:style w:type="numbering" w:customStyle="1" w:styleId="listlatinuppercase">
    <w:name w:val="list.latin.uppercase"/>
    <w:pPr>
      <w:numPr>
        <w:numId w:val="10"/>
      </w:numPr>
    </w:pPr>
  </w:style>
  <w:style w:type="numbering" w:customStyle="1" w:styleId="listromanlowercase">
    <w:name w:val="list.roman.lowercase"/>
    <w:pPr>
      <w:numPr>
        <w:numId w:val="11"/>
      </w:numPr>
    </w:pPr>
  </w:style>
  <w:style w:type="numbering" w:customStyle="1" w:styleId="listromanuppercase">
    <w:name w:val="list.roman.uppercase"/>
    <w:pPr>
      <w:numPr>
        <w:numId w:val="12"/>
      </w:numPr>
    </w:pPr>
  </w:style>
  <w:style w:type="numbering" w:customStyle="1" w:styleId="outlinearabic">
    <w:name w:val="outline.arabic"/>
    <w:pPr>
      <w:numPr>
        <w:numId w:val="13"/>
      </w:numPr>
    </w:pPr>
  </w:style>
  <w:style w:type="paragraph" w:customStyle="1" w:styleId="Normal-wk">
    <w:name w:val="Normal-wk"/>
    <w:qFormat/>
    <w:pPr>
      <w:keepNext w:val="0"/>
      <w:spacing w:before="0" w:after="0" w:line="288" w:lineRule="auto"/>
      <w:ind w:left="0" w:firstLine="0"/>
    </w:pPr>
    <w:rPr>
      <w:rFonts w:ascii="Times New Roman" w:eastAsia="Times New Roman" w:hAnsi="Times New Roman" w:cs="Times New Roman"/>
      <w:b w:val="0"/>
      <w:i w:val="0"/>
      <w:color w:val="000000"/>
      <w:spacing w:val="0"/>
      <w:sz w:val="20"/>
    </w:r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paragraph" w:customStyle="1" w:styleId="Heading1-wk">
    <w:name w:val="Heading 1-wk"/>
    <w:qFormat/>
    <w:pPr>
      <w:keepNext w:val="0"/>
      <w:spacing w:before="0" w:after="0" w:line="288" w:lineRule="auto"/>
      <w:ind w:left="0" w:firstLine="0"/>
    </w:pPr>
    <w:rPr>
      <w:rFonts w:ascii="Arial" w:eastAsia="Arial" w:hAnsi="Arial" w:cs="Arial"/>
      <w:b/>
      <w:i w:val="0"/>
      <w:color w:val="000000"/>
      <w:spacing w:val="0"/>
      <w:sz w:val="36"/>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paragraph" w:customStyle="1" w:styleId="Heading2-wk">
    <w:name w:val="Heading 2-wk"/>
    <w:qFormat/>
    <w:pPr>
      <w:keepNext w:val="0"/>
      <w:spacing w:before="0" w:after="0" w:line="288" w:lineRule="auto"/>
      <w:ind w:left="0" w:firstLine="0"/>
    </w:pPr>
    <w:rPr>
      <w:rFonts w:ascii="Arial" w:eastAsia="Arial" w:hAnsi="Arial" w:cs="Arial"/>
      <w:b/>
      <w:i w:val="0"/>
      <w:color w:val="000000"/>
      <w:spacing w:val="0"/>
      <w:sz w:val="32"/>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paragraph" w:customStyle="1" w:styleId="Heading3-wk">
    <w:name w:val="Heading 3-wk"/>
    <w:qFormat/>
    <w:pPr>
      <w:keepNext w:val="0"/>
      <w:spacing w:before="0" w:after="0" w:line="288" w:lineRule="auto"/>
      <w:ind w:left="0" w:firstLine="0"/>
    </w:pPr>
    <w:rPr>
      <w:rFonts w:ascii="Arial" w:eastAsia="Arial" w:hAnsi="Arial" w:cs="Arial"/>
      <w:b w:val="0"/>
      <w:i w:val="0"/>
      <w:color w:val="000000"/>
      <w:spacing w:val="0"/>
      <w:sz w:val="28"/>
    </w:rPr>
  </w:style>
  <w:style w:type="paragraph" w:customStyle="1" w:styleId="Contents1">
    <w:name w:val="Contents 1"/>
    <w:qFormat/>
    <w:pPr>
      <w:ind w:left="0" w:firstLine="0"/>
    </w:pPr>
    <w:rPr>
      <w:rFonts w:ascii="Arial" w:eastAsia="Arial" w:hAnsi="Arial" w:cs="Arial"/>
      <w:b w:val="0"/>
      <w:i w:val="0"/>
      <w:color w:val="000000"/>
      <w:spacing w:val="0"/>
      <w:sz w:val="24"/>
    </w:rPr>
  </w:style>
  <w:style w:type="paragraph" w:customStyle="1" w:styleId="Contents2">
    <w:name w:val="Contents 2"/>
    <w:qFormat/>
    <w:pPr>
      <w:ind w:left="245" w:firstLine="0"/>
    </w:pPr>
    <w:rPr>
      <w:rFonts w:ascii="Arial" w:eastAsia="Arial" w:hAnsi="Arial" w:cs="Arial"/>
      <w:b w:val="0"/>
      <w:i w:val="0"/>
      <w:color w:val="000000"/>
      <w:spacing w:val="0"/>
      <w:sz w:val="24"/>
    </w:rPr>
  </w:style>
  <w:style w:type="paragraph" w:customStyle="1" w:styleId="Contents3">
    <w:name w:val="Contents 3"/>
    <w:qFormat/>
    <w:pPr>
      <w:ind w:left="720" w:firstLine="0"/>
    </w:pPr>
    <w:rPr>
      <w:rFonts w:ascii="Arial" w:eastAsia="Arial" w:hAnsi="Arial" w:cs="Arial"/>
      <w:b w:val="0"/>
      <w:i w:val="0"/>
      <w:color w:val="000000"/>
      <w:spacing w:val="0"/>
      <w:sz w:val="24"/>
    </w:rPr>
  </w:style>
  <w:style w:type="table" w:customStyle="1" w:styleId="TableNormal0">
    <w:name w:val="Table (Normal)"/>
    <w:pPr>
      <w:spacing w:before="0" w:after="0"/>
      <w:ind w:left="0" w:firstLine="0"/>
    </w:pPr>
    <w:rPr>
      <w:rFonts w:ascii="Times New Roman" w:eastAsia="Times New Roman" w:hAnsi="Times New Roman" w:cs="Times New Roman"/>
      <w:b w:val="0"/>
      <w:i w:val="0"/>
      <w:color w:val="000000"/>
      <w:spacing w:val="0"/>
      <w:sz w:val="20"/>
    </w:rPr>
    <w:tblPr/>
  </w:style>
  <w:style w:type="character" w:styleId="LineNumber">
    <w:name w:val="line number"/>
    <w:basedOn w:val="DefaultParagraphFont"/>
    <w:uiPriority w:val="99"/>
    <w:rsid w:val="0041372D"/>
    <w:rPr>
      <w:rFonts w:ascii="Times New Roman" w:eastAsia="Times New Roman" w:hAnsi="Times New Roman" w:cs="Times New Roman"/>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hyperlink" Target="https://www.sec.gov/Archives/edgar/data/884144/000088414425000078/ex21toformxequitypurchas.htm" TargetMode="External" /><Relationship Id="rId19" Type="http://schemas.openxmlformats.org/officeDocument/2006/relationships/hyperlink" Target="https://www.sec.gov/Archives/edgar/data/884144/000088414425000078/ex21toformxequitypurchas.htm" TargetMode="External" /><Relationship Id="rId2" Type="http://schemas.openxmlformats.org/officeDocument/2006/relationships/webSettings" Target="webSettings.xml" /><Relationship Id="rId20" Type="http://schemas.openxmlformats.org/officeDocument/2006/relationships/hyperlink" Target="https://www.sec.gov/ix?doc=/Archives/edgar/data/0000884144/000110465926116616/tm2627663d1_8k.htm" TargetMode="External" /><Relationship Id="rId21" Type="http://schemas.openxmlformats.org/officeDocument/2006/relationships/hyperlink" Target="https://www.sec.gov/ix?doc=/Archives/edgar/data/0000884144/000110465926116616/tm2627663d1_8k.htm" TargetMode="External" /><Relationship Id="rId22" Type="http://schemas.openxmlformats.org/officeDocument/2006/relationships/hyperlink" Target="wurl://docs.v1/doc:8eb095d4a0564e12a2281338f01b8518" TargetMode="External" /><Relationship Id="rId23" Type="http://schemas.openxmlformats.org/officeDocument/2006/relationships/hyperlink" Target="wurl://docs.v1/doc:8eb095d4a0564e12a2281338f01b8518" TargetMode="External" /><Relationship Id="rId24" Type="http://schemas.openxmlformats.org/officeDocument/2006/relationships/hyperlink" Target="wurl://docs.v1/doc:46e27715a0e94608bccf3e01fcec5617" TargetMode="External" /><Relationship Id="rId25" Type="http://schemas.openxmlformats.org/officeDocument/2006/relationships/hyperlink" Target="wurl://docs.v1/doc:46e27715a0e94608bccf3e01fcec5617" TargetMode="External" /><Relationship Id="rId26" Type="http://schemas.openxmlformats.org/officeDocument/2006/relationships/hyperlink" Target="wurl://docs.v1/doc:ce6b87d2a4c945eb92401b883f95ecfb" TargetMode="External" /><Relationship Id="rId27" Type="http://schemas.openxmlformats.org/officeDocument/2006/relationships/hyperlink" Target="wurl://docs.v1/doc:ce6b87d2a4c945eb92401b883f95ecfb" TargetMode="External" /><Relationship Id="rId28" Type="http://schemas.openxmlformats.org/officeDocument/2006/relationships/hyperlink" Target="wurl://docs.v1/doc:21f093199d1f4b219f2459b2aae94ea9" TargetMode="External" /><Relationship Id="rId29" Type="http://schemas.openxmlformats.org/officeDocument/2006/relationships/hyperlink" Target="wurl://docs.v1/doc:21f093199d1f4b219f2459b2aae94ea9" TargetMode="External" /><Relationship Id="rId3" Type="http://schemas.openxmlformats.org/officeDocument/2006/relationships/fontTable" Target="fontTable.xml" /><Relationship Id="rId30" Type="http://schemas.openxmlformats.org/officeDocument/2006/relationships/header" Target="header8.xml" /><Relationship Id="rId31" Type="http://schemas.openxmlformats.org/officeDocument/2006/relationships/header" Target="header9.xml" /><Relationship Id="rId32" Type="http://schemas.openxmlformats.org/officeDocument/2006/relationships/header" Target="header10.xml" /><Relationship Id="rId33" Type="http://schemas.openxmlformats.org/officeDocument/2006/relationships/header" Target="header11.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2026.09.30 ASUR 10-Q PRINT</dc:title>
  <cp:revision>1</cp:revision>
</cp:coreProperties>
</file>