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229870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00" w:right="1680" w:hanging="3661"/>
        <w:spacing w:after="0" w:line="564" w:lineRule="auto"/>
        <w:tabs>
          <w:tab w:leader="none" w:pos="5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2012</w:t>
      </w:r>
    </w:p>
    <w:p>
      <w:pPr>
        <w:spacing w:after="0" w:line="378" w:lineRule="exact"/>
        <w:rPr>
          <w:sz w:val="24"/>
          <w:szCs w:val="24"/>
          <w:color w:val="auto"/>
        </w:rPr>
      </w:pPr>
    </w:p>
    <w:p>
      <w:pPr>
        <w:ind w:left="580" w:hanging="341"/>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REPORTPURSUANT TO SECTION 13 OR 15(d) OF THE SECURITIES EXCHANGE ACT OF 1934</w:t>
      </w:r>
    </w:p>
    <w:p>
      <w:pPr>
        <w:spacing w:after="0" w:line="212" w:lineRule="exact"/>
        <w:rPr>
          <w:sz w:val="24"/>
          <w:szCs w:val="24"/>
          <w:color w:val="auto"/>
        </w:rPr>
      </w:pPr>
    </w:p>
    <w:tbl>
      <w:tblPr>
        <w:tblLayout w:type="fixed"/>
        <w:tblInd w:w="37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439"/>
        </w:trPr>
        <w:tc>
          <w:tcPr>
            <w:tcW w:w="3240" w:type="dxa"/>
            <w:vAlign w:val="bottom"/>
            <w:gridSpan w:val="4"/>
          </w:tcPr>
          <w:p>
            <w:pPr>
              <w:ind w:left="64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4457065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ASURE SOFTWARE,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74-2415696</w:t>
            </w:r>
          </w:p>
        </w:tc>
        <w:tc>
          <w:tcPr>
            <w:tcW w:w="220" w:type="dxa"/>
            <w:vAlign w:val="bottom"/>
          </w:tcPr>
          <w:p>
            <w:pPr>
              <w:spacing w:after="0"/>
              <w:rPr>
                <w:sz w:val="17"/>
                <w:szCs w:val="17"/>
                <w:color w:val="auto"/>
              </w:rPr>
            </w:pPr>
          </w:p>
        </w:tc>
      </w:tr>
      <w:tr>
        <w:trPr>
          <w:trHeight w:val="222"/>
        </w:trPr>
        <w:tc>
          <w:tcPr>
            <w:tcW w:w="6460" w:type="dxa"/>
            <w:vAlign w:val="bottom"/>
            <w:gridSpan w:val="7"/>
          </w:tcPr>
          <w:p>
            <w:pPr>
              <w:jc w:val="center"/>
              <w:ind w:right="3500"/>
              <w:spacing w:after="0"/>
              <w:rPr>
                <w:sz w:val="20"/>
                <w:szCs w:val="20"/>
                <w:color w:val="auto"/>
              </w:rPr>
            </w:pPr>
            <w:r>
              <w:rPr>
                <w:rFonts w:ascii="Arial" w:cs="Arial" w:eastAsia="Arial" w:hAnsi="Arial"/>
                <w:sz w:val="18"/>
                <w:szCs w:val="18"/>
                <w:color w:val="auto"/>
                <w:w w:val="92"/>
              </w:rPr>
              <w:t>(State of other jurisdiction of</w:t>
            </w:r>
          </w:p>
        </w:tc>
        <w:tc>
          <w:tcPr>
            <w:tcW w:w="1440" w:type="dxa"/>
            <w:vAlign w:val="bottom"/>
            <w:gridSpan w:val="5"/>
          </w:tcPr>
          <w:p>
            <w:pPr>
              <w:jc w:val="center"/>
              <w:ind w:left="30"/>
              <w:spacing w:after="0"/>
              <w:rPr>
                <w:sz w:val="20"/>
                <w:szCs w:val="20"/>
                <w:color w:val="auto"/>
              </w:rPr>
            </w:pPr>
            <w:r>
              <w:rPr>
                <w:rFonts w:ascii="Arial" w:cs="Arial" w:eastAsia="Arial" w:hAnsi="Arial"/>
                <w:sz w:val="18"/>
                <w:szCs w:val="18"/>
                <w:color w:val="auto"/>
                <w:w w:val="93"/>
              </w:rPr>
              <w:t>(I.R.S. Employer</w:t>
            </w:r>
          </w:p>
        </w:tc>
      </w:tr>
      <w:tr>
        <w:trPr>
          <w:trHeight w:val="230"/>
        </w:trPr>
        <w:tc>
          <w:tcPr>
            <w:tcW w:w="6460" w:type="dxa"/>
            <w:vAlign w:val="bottom"/>
            <w:gridSpan w:val="7"/>
          </w:tcPr>
          <w:p>
            <w:pPr>
              <w:jc w:val="center"/>
              <w:ind w:right="3500"/>
              <w:spacing w:after="0"/>
              <w:rPr>
                <w:sz w:val="20"/>
                <w:szCs w:val="20"/>
                <w:color w:val="auto"/>
              </w:rPr>
            </w:pPr>
            <w:r>
              <w:rPr>
                <w:rFonts w:ascii="Arial" w:cs="Arial" w:eastAsia="Arial" w:hAnsi="Arial"/>
                <w:sz w:val="18"/>
                <w:szCs w:val="18"/>
                <w:color w:val="auto"/>
                <w:w w:val="92"/>
              </w:rPr>
              <w:t>incorporation or organization)</w:t>
            </w:r>
          </w:p>
        </w:tc>
        <w:tc>
          <w:tcPr>
            <w:tcW w:w="1440" w:type="dxa"/>
            <w:vAlign w:val="bottom"/>
            <w:gridSpan w:val="5"/>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60" w:type="dxa"/>
            <w:vAlign w:val="bottom"/>
            <w:gridSpan w:val="7"/>
          </w:tcPr>
          <w:p>
            <w:pPr>
              <w:jc w:val="center"/>
              <w:ind w:right="3500"/>
              <w:spacing w:after="0"/>
              <w:rPr>
                <w:sz w:val="20"/>
                <w:szCs w:val="20"/>
                <w:color w:val="auto"/>
              </w:rPr>
            </w:pPr>
            <w:r>
              <w:rPr>
                <w:rFonts w:ascii="Arial" w:cs="Arial" w:eastAsia="Arial" w:hAnsi="Arial"/>
                <w:sz w:val="18"/>
                <w:szCs w:val="18"/>
                <w:b w:val="1"/>
                <w:bCs w:val="1"/>
                <w:color w:val="auto"/>
                <w:w w:val="90"/>
              </w:rPr>
              <w:t>110 Wild Basin Road, Suite 100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104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4460" w:type="dxa"/>
            <w:vAlign w:val="bottom"/>
            <w:gridSpan w:val="3"/>
          </w:tcPr>
          <w:p>
            <w:pPr>
              <w:spacing w:after="0"/>
              <w:rPr>
                <w:sz w:val="16"/>
                <w:szCs w:val="16"/>
                <w:color w:val="auto"/>
              </w:rPr>
            </w:pPr>
          </w:p>
        </w:tc>
        <w:tc>
          <w:tcPr>
            <w:tcW w:w="122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78746</w:t>
            </w:r>
          </w:p>
        </w:tc>
        <w:tc>
          <w:tcPr>
            <w:tcW w:w="2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460" w:type="dxa"/>
            <w:vAlign w:val="bottom"/>
            <w:gridSpan w:val="7"/>
          </w:tcPr>
          <w:p>
            <w:pPr>
              <w:jc w:val="center"/>
              <w:ind w:right="352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(Zip Code)</w:t>
            </w:r>
          </w:p>
        </w:tc>
      </w:tr>
      <w:tr>
        <w:trPr>
          <w:trHeight w:val="392"/>
        </w:trPr>
        <w:tc>
          <w:tcPr>
            <w:tcW w:w="4940" w:type="dxa"/>
            <w:vAlign w:val="bottom"/>
            <w:gridSpan w:val="6"/>
          </w:tcPr>
          <w:p>
            <w:pPr>
              <w:jc w:val="right"/>
              <w:spacing w:after="0"/>
              <w:rPr>
                <w:sz w:val="20"/>
                <w:szCs w:val="20"/>
                <w:color w:val="auto"/>
              </w:rPr>
            </w:pPr>
            <w:r>
              <w:rPr>
                <w:rFonts w:ascii="Arial" w:cs="Arial" w:eastAsia="Arial" w:hAnsi="Arial"/>
                <w:sz w:val="18"/>
                <w:szCs w:val="18"/>
                <w:b w:val="1"/>
                <w:bCs w:val="1"/>
                <w:color w:val="auto"/>
              </w:rPr>
              <w:t>(512) 437-2700</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(Registrant’s Telephone Number, including Area Code)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20" w:space="720"/>
            <w:col w:w="1640" w:space="720"/>
            <w:col w:w="222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May 10, 2012, the registrant had outstanding 4,982,498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580" w:type="dxa"/>
            <w:vAlign w:val="bottom"/>
            <w:gridSpan w:val="20"/>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40" w:type="dxa"/>
            <w:vAlign w:val="bottom"/>
          </w:tcPr>
          <w:p>
            <w:pPr>
              <w:spacing w:after="0"/>
              <w:rPr>
                <w:sz w:val="14"/>
                <w:szCs w:val="14"/>
                <w:color w:val="auto"/>
              </w:rPr>
            </w:pPr>
          </w:p>
        </w:tc>
      </w:tr>
      <w:tr>
        <w:trPr>
          <w:trHeight w:val="426"/>
        </w:trPr>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gridSpan w:val="10"/>
          </w:tcPr>
          <w:p>
            <w:pPr>
              <w:ind w:left="130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241"/>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6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PART I - FINANCIAL INFORMATION</w:t>
            </w:r>
          </w:p>
        </w:tc>
        <w:tc>
          <w:tcPr>
            <w:tcW w:w="840" w:type="dxa"/>
            <w:vAlign w:val="bottom"/>
          </w:tcPr>
          <w:p>
            <w:pPr>
              <w:spacing w:after="0"/>
              <w:rPr>
                <w:sz w:val="18"/>
                <w:szCs w:val="18"/>
                <w:color w:val="auto"/>
              </w:rPr>
            </w:pPr>
          </w:p>
        </w:tc>
      </w:tr>
      <w:tr>
        <w:trPr>
          <w:trHeight w:val="39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7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84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2012 and December 31, 2011</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2012 and 2011</w:t>
              </w:r>
            </w:hyperlink>
          </w:p>
        </w:tc>
        <w:tc>
          <w:tcPr>
            <w:tcW w:w="178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gridSpan w:val="1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(Loss) for the Three Months ended March 31,2012 and 2011</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2012 and 2011</w:t>
              </w:r>
            </w:hyperlink>
          </w:p>
        </w:tc>
        <w:tc>
          <w:tcPr>
            <w:tcW w:w="12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42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16">
              <w:r>
                <w:rPr>
                  <w:rFonts w:ascii="Arial" w:cs="Arial" w:eastAsia="Arial" w:hAnsi="Arial"/>
                  <w:sz w:val="18"/>
                  <w:szCs w:val="18"/>
                  <w:b w:val="1"/>
                  <w:bCs w:val="1"/>
                  <w:color w:val="0000EE"/>
                </w:rPr>
                <w:t>Management’s Discussion and Analysis of Financial Condition and 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21">
              <w:r>
                <w:rPr>
                  <w:rFonts w:ascii="Arial" w:cs="Arial" w:eastAsia="Arial" w:hAnsi="Arial"/>
                  <w:sz w:val="18"/>
                  <w:szCs w:val="18"/>
                  <w:b w:val="1"/>
                  <w:bCs w:val="1"/>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21">
              <w:r>
                <w:rPr>
                  <w:rFonts w:ascii="Arial" w:cs="Arial" w:eastAsia="Arial" w:hAnsi="Arial"/>
                  <w:sz w:val="18"/>
                  <w:szCs w:val="18"/>
                  <w:b w:val="1"/>
                  <w:bCs w:val="1"/>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453"/>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PART II - OTHER INFORMATION</w:t>
            </w:r>
          </w:p>
        </w:tc>
        <w:tc>
          <w:tcPr>
            <w:tcW w:w="840" w:type="dxa"/>
            <w:vAlign w:val="bottom"/>
          </w:tcPr>
          <w:p>
            <w:pPr>
              <w:spacing w:after="0"/>
              <w:rPr>
                <w:sz w:val="24"/>
                <w:szCs w:val="24"/>
                <w:color w:val="auto"/>
              </w:rPr>
            </w:pPr>
          </w:p>
        </w:tc>
      </w:tr>
      <w:tr>
        <w:trPr>
          <w:trHeight w:val="39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22">
              <w:r>
                <w:rPr>
                  <w:rFonts w:ascii="Arial" w:cs="Arial" w:eastAsia="Arial" w:hAnsi="Arial"/>
                  <w:sz w:val="18"/>
                  <w:szCs w:val="18"/>
                  <w:b w:val="1"/>
                  <w:bCs w:val="1"/>
                  <w:color w:val="0000EE"/>
                  <w:w w:val="86"/>
                </w:rPr>
                <w:t>Legal Proceedings</w:t>
              </w:r>
            </w:hyperlink>
          </w:p>
        </w:tc>
        <w:tc>
          <w:tcPr>
            <w:tcW w:w="83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22">
              <w:r>
                <w:rPr>
                  <w:rFonts w:ascii="Arial" w:cs="Arial" w:eastAsia="Arial" w:hAnsi="Arial"/>
                  <w:sz w:val="18"/>
                  <w:szCs w:val="18"/>
                  <w:b w:val="1"/>
                  <w:bCs w:val="1"/>
                  <w:color w:val="0000EE"/>
                </w:rPr>
                <w:t>Unregistered Sales of Equity Securities and Use of Proceeds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22">
              <w:r>
                <w:rPr>
                  <w:rFonts w:ascii="Arial" w:cs="Arial" w:eastAsia="Arial" w:hAnsi="Arial"/>
                  <w:sz w:val="18"/>
                  <w:szCs w:val="18"/>
                  <w:b w:val="1"/>
                  <w:bCs w:val="1"/>
                  <w:color w:val="0000EE"/>
                </w:rPr>
                <w:t>Defaults upon Senior Securities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0"/>
          </w:tcPr>
          <w:p>
            <w:pPr>
              <w:spacing w:after="0" w:line="196"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22">
              <w:r>
                <w:rPr>
                  <w:rFonts w:ascii="Arial" w:cs="Arial" w:eastAsia="Arial" w:hAnsi="Arial"/>
                  <w:sz w:val="18"/>
                  <w:szCs w:val="18"/>
                  <w:b w:val="1"/>
                  <w:bCs w:val="1"/>
                  <w:color w:val="0000EE"/>
                </w:rPr>
                <w:t>Submission of Matters to a Vote of Security Holders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3"/>
              </w:rPr>
            </w:pPr>
            <w:hyperlink w:anchor="page22">
              <w:r>
                <w:rPr>
                  <w:rFonts w:ascii="Arial" w:cs="Arial" w:eastAsia="Arial" w:hAnsi="Arial"/>
                  <w:sz w:val="18"/>
                  <w:szCs w:val="18"/>
                  <w:b w:val="1"/>
                  <w:bCs w:val="1"/>
                  <w:color w:val="0000EE"/>
                  <w:w w:val="93"/>
                </w:rPr>
                <w:t>Other Information</w:t>
              </w:r>
            </w:hyperlink>
          </w:p>
        </w:tc>
        <w:tc>
          <w:tcPr>
            <w:tcW w:w="2540" w:type="dxa"/>
            <w:vAlign w:val="bottom"/>
            <w:tcBorders>
              <w:top w:val="single" w:sz="8" w:color="0000EE"/>
            </w:tcBorders>
            <w:gridSpan w:val="4"/>
          </w:tcPr>
          <w:p>
            <w:pPr>
              <w:spacing w:after="0"/>
              <w:rPr>
                <w:sz w:val="17"/>
                <w:szCs w:val="17"/>
                <w:color w:val="auto"/>
              </w:rPr>
            </w:pPr>
          </w:p>
        </w:tc>
        <w:tc>
          <w:tcPr>
            <w:tcW w:w="576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740" w:type="dxa"/>
            <w:vAlign w:val="bottom"/>
            <w:gridSpan w:val="1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Exhibits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12"/>
        </w:trPr>
        <w:tc>
          <w:tcPr>
            <w:tcW w:w="840" w:type="dxa"/>
            <w:vAlign w:val="bottom"/>
            <w:gridSpan w:val="2"/>
          </w:tcPr>
          <w:p>
            <w:pPr>
              <w:spacing w:after="0"/>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Signatures</w:t>
              </w:r>
            </w:hyperlink>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936"/>
        </w:trPr>
        <w:tc>
          <w:tcPr>
            <w:tcW w:w="82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320" w:type="dxa"/>
            <w:vAlign w:val="bottom"/>
          </w:tcPr>
          <w:p>
            <w:pPr>
              <w:jc w:val="center"/>
              <w:ind w:left="199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20" w:type="dxa"/>
            <w:vAlign w:val="bottom"/>
          </w:tcPr>
          <w:p>
            <w:pPr>
              <w:jc w:val="center"/>
              <w:ind w:left="2030"/>
              <w:spacing w:after="0"/>
              <w:rPr>
                <w:sz w:val="20"/>
                <w:szCs w:val="20"/>
                <w:color w:val="auto"/>
              </w:rPr>
            </w:pPr>
            <w:r>
              <w:rPr>
                <w:rFonts w:ascii="Arial" w:cs="Arial" w:eastAsia="Arial" w:hAnsi="Arial"/>
                <w:sz w:val="18"/>
                <w:szCs w:val="18"/>
                <w:b w:val="1"/>
                <w:bCs w:val="1"/>
                <w:color w:val="auto"/>
                <w:w w:val="97"/>
              </w:rPr>
              <w:t>ASURE SOFTWARE, INC.</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98"/>
              </w:rPr>
              <w:t>CONDEN SED CONSOLIDATED BALANCE SHEETS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color w:val="auto"/>
                <w:w w:val="89"/>
              </w:rPr>
              <w:t>(Amounts in thousands, except per share data)</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Accounts receivable, net of allowance for doubtful accounts of $56 and $19 at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260"/>
              <w:spacing w:after="0"/>
              <w:rPr>
                <w:sz w:val="20"/>
                <w:szCs w:val="20"/>
                <w:color w:val="auto"/>
              </w:rPr>
            </w:pPr>
            <w:r>
              <w:rPr>
                <w:rFonts w:ascii="Arial" w:cs="Arial" w:eastAsia="Arial" w:hAnsi="Arial"/>
                <w:sz w:val="18"/>
                <w:szCs w:val="18"/>
                <w:color w:val="auto"/>
              </w:rPr>
              <w:t>March 31, 2012 and December 31, 2011,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15,763</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60"/>
              <w:spacing w:after="0"/>
              <w:rPr>
                <w:sz w:val="20"/>
                <w:szCs w:val="20"/>
                <w:color w:val="auto"/>
              </w:rPr>
            </w:pPr>
            <w:r>
              <w:rPr>
                <w:rFonts w:ascii="Arial" w:cs="Arial" w:eastAsia="Arial" w:hAnsi="Arial"/>
                <w:sz w:val="18"/>
                <w:szCs w:val="18"/>
                <w:color w:val="auto"/>
              </w:rPr>
              <w:t>Line of credit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4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60"/>
              <w:spacing w:after="0"/>
              <w:rPr>
                <w:sz w:val="20"/>
                <w:szCs w:val="20"/>
                <w:color w:val="auto"/>
              </w:rPr>
            </w:pPr>
            <w:r>
              <w:rPr>
                <w:rFonts w:ascii="Arial" w:cs="Arial" w:eastAsia="Arial" w:hAnsi="Arial"/>
                <w:sz w:val="18"/>
                <w:szCs w:val="18"/>
                <w:color w:val="auto"/>
              </w:rPr>
              <w:t>Subordinated notes payable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Subordinated convertible notes payable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6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8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Common stock, $.01 par value; 6,500 shares authorized; 5,365 and 5,014 shares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80"/>
              <w:spacing w:after="0"/>
              <w:rPr>
                <w:sz w:val="20"/>
                <w:szCs w:val="20"/>
                <w:color w:val="auto"/>
              </w:rPr>
            </w:pPr>
            <w:r>
              <w:rPr>
                <w:rFonts w:ascii="Arial" w:cs="Arial" w:eastAsia="Arial" w:hAnsi="Arial"/>
                <w:sz w:val="18"/>
                <w:szCs w:val="18"/>
                <w:color w:val="auto"/>
              </w:rPr>
              <w:t>issued; 4,981 and 4,630 shares outstanding at March 31, 2012 and December 31, 2011,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Treasury stock at cost, 384 shares at March 31, 2012 and December 31, 2011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273,334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(265,037 )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(264,190 )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15,763</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4"/>
          </w:tcPr>
          <w:p>
            <w:pPr>
              <w:jc w:val="center"/>
              <w:ind w:right="490"/>
              <w:spacing w:after="0"/>
              <w:rPr>
                <w:sz w:val="20"/>
                <w:szCs w:val="20"/>
                <w:color w:val="auto"/>
              </w:rPr>
            </w:pPr>
            <w:r>
              <w:rPr>
                <w:rFonts w:ascii="Arial" w:cs="Arial" w:eastAsia="Arial" w:hAnsi="Arial"/>
                <w:sz w:val="18"/>
                <w:szCs w:val="18"/>
                <w:b w:val="1"/>
                <w:bCs w:val="1"/>
                <w:color w:val="auto"/>
              </w:rPr>
              <w:t>FOR THE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500" w:type="dxa"/>
            <w:vAlign w:val="bottom"/>
            <w:gridSpan w:val="5"/>
          </w:tcPr>
          <w:p>
            <w:pPr>
              <w:jc w:val="center"/>
              <w:ind w:left="179"/>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490"/>
              <w:spacing w:after="0"/>
              <w:rPr>
                <w:sz w:val="20"/>
                <w:szCs w:val="20"/>
                <w:color w:val="auto"/>
              </w:rPr>
            </w:pPr>
            <w:r>
              <w:rPr>
                <w:rFonts w:ascii="Arial" w:cs="Arial" w:eastAsia="Arial" w:hAnsi="Arial"/>
                <w:sz w:val="18"/>
                <w:szCs w:val="18"/>
                <w:b w:val="1"/>
                <w:bCs w:val="1"/>
                <w:color w:val="auto"/>
                <w:w w:val="98"/>
              </w:rPr>
              <w:t>MARCH 31,</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 xml:space="preserve">(1,046 </w:t>
            </w:r>
            <w:r>
              <w:rPr>
                <w:rFonts w:ascii="Arial" w:cs="Arial" w:eastAsia="Arial" w:hAnsi="Arial"/>
                <w:sz w:val="18"/>
                <w:szCs w:val="18"/>
                <w:color w:val="auto"/>
                <w:w w:val="90"/>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xml:space="preserve">(440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From Operations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assets</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(Loss) on Debt Conversion</w:t>
            </w: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loss</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Interest expense – amortization of OID and derivative mark-to-market</w:t>
            </w: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(535 )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and other</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Total Other Expense</w:t>
            </w: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xml:space="preserve">(891 </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Loss From Operations Before Income Taxes</w:t>
            </w: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(802 )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xml:space="preserve">(847 </w:t>
            </w:r>
            <w:r>
              <w:rPr>
                <w:rFonts w:ascii="Arial" w:cs="Arial" w:eastAsia="Arial" w:hAnsi="Arial"/>
                <w:sz w:val="18"/>
                <w:szCs w:val="18"/>
                <w:color w:val="auto"/>
              </w:rPr>
              <w:t>)</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xml:space="preserve">(0.18 </w:t>
            </w:r>
            <w:r>
              <w:rPr>
                <w:rFonts w:ascii="Arial" w:cs="Arial" w:eastAsia="Arial" w:hAnsi="Arial"/>
                <w:sz w:val="18"/>
                <w:szCs w:val="18"/>
                <w:color w:val="auto"/>
              </w:rPr>
              <w:t>)</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6"/>
              </w:rPr>
              <w:t>(0.01 )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Shares Used In Computing Basic And Diluted Loss Per Share</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4,699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4,627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0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636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ASURE SOFTWARE, INC.</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36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w w:val="88"/>
              </w:rPr>
              <w:t>Condensed Consolidated Statements of Comprehensive Income (Loss)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60" w:type="dxa"/>
            <w:vAlign w:val="bottom"/>
            <w:gridSpan w:val="3"/>
          </w:tcPr>
          <w:p>
            <w:pPr>
              <w:jc w:val="center"/>
              <w:ind w:right="590"/>
              <w:spacing w:after="0"/>
              <w:rPr>
                <w:sz w:val="20"/>
                <w:szCs w:val="20"/>
                <w:color w:val="auto"/>
              </w:rPr>
            </w:pPr>
            <w:r>
              <w:rPr>
                <w:rFonts w:ascii="Arial" w:cs="Arial" w:eastAsia="Arial" w:hAnsi="Arial"/>
                <w:sz w:val="18"/>
                <w:szCs w:val="18"/>
                <w:color w:val="auto"/>
                <w:w w:val="90"/>
              </w:rPr>
              <w:t>(In thousands)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360" w:type="dxa"/>
            <w:vAlign w:val="bottom"/>
            <w:gridSpan w:val="3"/>
          </w:tcPr>
          <w:p>
            <w:pPr>
              <w:jc w:val="center"/>
              <w:ind w:right="610"/>
              <w:spacing w:after="0"/>
              <w:rPr>
                <w:sz w:val="20"/>
                <w:szCs w:val="20"/>
                <w:color w:val="auto"/>
              </w:rPr>
            </w:pPr>
            <w:r>
              <w:rPr>
                <w:rFonts w:ascii="Arial" w:cs="Arial" w:eastAsia="Arial" w:hAnsi="Arial"/>
                <w:sz w:val="18"/>
                <w:szCs w:val="18"/>
                <w:color w:val="auto"/>
                <w:w w:val="91"/>
              </w:rPr>
              <w:t>(Unaudited)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00" w:type="dxa"/>
            <w:vAlign w:val="bottom"/>
            <w:gridSpan w:val="4"/>
          </w:tcPr>
          <w:p>
            <w:pPr>
              <w:jc w:val="center"/>
              <w:ind w:right="530"/>
              <w:spacing w:after="0"/>
              <w:rPr>
                <w:sz w:val="20"/>
                <w:szCs w:val="20"/>
                <w:color w:val="auto"/>
              </w:rPr>
            </w:pPr>
            <w:r>
              <w:rPr>
                <w:rFonts w:ascii="Arial" w:cs="Arial" w:eastAsia="Arial" w:hAnsi="Arial"/>
                <w:sz w:val="18"/>
                <w:szCs w:val="18"/>
                <w:b w:val="1"/>
                <w:bCs w:val="1"/>
                <w:color w:val="auto"/>
              </w:rPr>
              <w:t>FOR THE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550"/>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36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96"/>
              </w:rPr>
              <w:t>Foreign currency translation gain</w:t>
            </w:r>
          </w:p>
        </w:tc>
        <w:tc>
          <w:tcPr>
            <w:tcW w:w="54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63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(819)</w:t>
            </w:r>
          </w:p>
        </w:tc>
        <w:tc>
          <w:tcPr>
            <w:tcW w:w="10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80" w:type="dxa"/>
            <w:vAlign w:val="bottom"/>
            <w:gridSpan w:val="5"/>
          </w:tcPr>
          <w:p>
            <w:pPr>
              <w:jc w:val="center"/>
              <w:ind w:left="196"/>
              <w:spacing w:after="0"/>
              <w:rPr>
                <w:sz w:val="20"/>
                <w:szCs w:val="20"/>
                <w:color w:val="auto"/>
              </w:rPr>
            </w:pPr>
            <w:r>
              <w:rPr>
                <w:rFonts w:ascii="Arial" w:cs="Arial" w:eastAsia="Arial" w:hAnsi="Arial"/>
                <w:sz w:val="18"/>
                <w:szCs w:val="18"/>
                <w:b w:val="1"/>
                <w:bCs w:val="1"/>
                <w:color w:val="auto"/>
              </w:rPr>
              <w:t>FOR THE THREE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80" w:type="dxa"/>
            <w:vAlign w:val="bottom"/>
            <w:gridSpan w:val="5"/>
          </w:tcPr>
          <w:p>
            <w:pPr>
              <w:jc w:val="center"/>
              <w:ind w:left="196"/>
              <w:spacing w:after="0"/>
              <w:rPr>
                <w:sz w:val="20"/>
                <w:szCs w:val="20"/>
                <w:color w:val="auto"/>
              </w:rPr>
            </w:pPr>
            <w:r>
              <w:rPr>
                <w:rFonts w:ascii="Arial" w:cs="Arial" w:eastAsia="Arial" w:hAnsi="Arial"/>
                <w:sz w:val="18"/>
                <w:szCs w:val="18"/>
                <w:b w:val="1"/>
                <w:bCs w:val="1"/>
                <w:color w:val="auto"/>
              </w:rPr>
              <w:t>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58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(847 )</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operations: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Interest expense – amortization of OID and derivative mark-to-market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sale/disposal of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Loss on debt conversion</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Notes receivable</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Net purchases of property and equipment</w:t>
            </w: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(Issuance) or collection of note receivable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notes payable and capital leases</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Payments on notes payable conversion</w:t>
            </w: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proceeds from exercise of options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(494 )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Effect of translation exchange rates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Net increase in cash and equivalents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1,067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1,070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860" w:type="dxa"/>
            <w:vAlign w:val="bottom"/>
          </w:tcPr>
          <w:p>
            <w:pPr>
              <w:jc w:val="right"/>
              <w:ind w:right="696"/>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1,189</w:t>
            </w:r>
          </w:p>
        </w:tc>
        <w:tc>
          <w:tcPr>
            <w:tcW w:w="140" w:type="dxa"/>
            <w:vAlign w:val="bottom"/>
          </w:tcPr>
          <w:p>
            <w:pPr>
              <w:spacing w:after="0"/>
              <w:rPr>
                <w:sz w:val="18"/>
                <w:szCs w:val="18"/>
                <w:color w:val="auto"/>
              </w:rPr>
            </w:pPr>
          </w:p>
        </w:tc>
        <w:tc>
          <w:tcPr>
            <w:tcW w:w="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Payments of accelerated interest on subordinated convertible notes payable conversion</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Activity – conversion of subordinated convertible notes payable to equity</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AND BASIS OF FINANCIAL STATEMENTS</w:t>
      </w:r>
    </w:p>
    <w:p>
      <w:pPr>
        <w:spacing w:after="0" w:line="229"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and regulations of the Securities and Exchange Commission and accordingly,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the financial position of Asure Software, Inc. (“Asure” or the “Company”) as of March 31, 2012 and December 31, 2011, the results of operations for the three months ended March 31, 2012 and 2011, and the cash flows for the three months ended March 31, 2012 and 2011. These condensed consolidated financial statements should be read in conjunction with the Company’s audited consolidated financial statements and notes thereto filed with the Securities and Exchange Commission in the Company’s annual report on Form 10-K for the fiscal year ended December 31, 2011. The results for the interim periods are not necessarily indicative of results for a full fiscal year.</w:t>
      </w:r>
    </w:p>
    <w:p>
      <w:pPr>
        <w:spacing w:after="0" w:line="16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On March 27, 2012, the Board of Directors declared a 3-for-2 stock split, payable April 30, 2012 to the holders of record of the Company’s common stock as of the close of business on April 23, 2012. The Company will make cash payments based upon the closing price of the Company’s shares on the record date in lieu of the issuance of fractional shares. Share and per share information in these financial statements reflect the impact of the 3 for 2 stock split.</w:t>
      </w:r>
    </w:p>
    <w:p>
      <w:pPr>
        <w:spacing w:after="0" w:line="21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As of March 31, 2012, Asure’s principal source of liquidity consisted of $1,189 of current cash and cash equivalents as well as future cash generated from operations. The increase of cash and cash equivalents of $122 for the three months ended March 31, 2012 is due primarily to cash generated from operations.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2012.</w:t>
      </w:r>
    </w:p>
    <w:p>
      <w:pPr>
        <w:spacing w:after="0" w:line="215"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or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INTANGIBLE ASSETS</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Asure accounted for its historical acquisitions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relates to the previous year acquisitions of ADI Time and Legiant. Asure’s intangible assets relate to ADI Time, Legiant and its acquisition of iSarla Inc. and the iEmployee operations.</w:t>
      </w:r>
    </w:p>
    <w:p>
      <w:pPr>
        <w:spacing w:after="0" w:line="21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gross carrying amount and accumulated amortization of the Company’s intangible assets as of March 31, 2012 and December 31, 2011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2012</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(858 )</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(2,409 )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9,713</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(3,763 )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5,950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3"/>
        </w:trPr>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3"/>
              </w:rPr>
              <w:t>December 31, 2011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(794 )</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(2,175 )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9,713</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(3,406 )</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6,307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90"/>
        </w:trPr>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1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Amortization expense is recorded using the straight-line method over the estimated economic useful lives of the intangible assets, as noted above. Amortization expense for the three months ended March 31, 2012 and 2011 was $292 and $149 included in Operating Expenses and $65 and $46 respectively included in Cost of Goods Sold. The following table summarizes the estimated amortization expense relating to the Company’s intangible assets for the next five years and thereafter:</w:t>
      </w:r>
    </w:p>
    <w:p>
      <w:pPr>
        <w:spacing w:after="0" w:line="183" w:lineRule="exact"/>
        <w:rPr>
          <w:sz w:val="20"/>
          <w:szCs w:val="20"/>
          <w:color w:val="auto"/>
        </w:rPr>
      </w:pPr>
    </w:p>
    <w:tbl>
      <w:tblPr>
        <w:tblLayout w:type="fixed"/>
        <w:tblInd w:w="3720" w:type="dxa"/>
        <w:tblCellMar>
          <w:top w:w="0" w:type="dxa"/>
          <w:left w:w="0" w:type="dxa"/>
          <w:bottom w:w="0" w:type="dxa"/>
          <w:right w:w="0" w:type="dxa"/>
        </w:tblCellMar>
      </w:tblPr>
      <w:tr>
        <w:trPr>
          <w:trHeight w:val="241"/>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r>
      <w:tr>
        <w:trPr>
          <w:trHeight w:val="237"/>
        </w:trPr>
        <w:tc>
          <w:tcPr>
            <w:tcW w:w="2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5,950</w:t>
            </w:r>
          </w:p>
        </w:tc>
        <w:tc>
          <w:tcPr>
            <w:tcW w:w="120" w:type="dxa"/>
            <w:vAlign w:val="bottom"/>
            <w:shd w:val="clear" w:color="auto" w:fill="CCEEFF"/>
          </w:tcPr>
          <w:p>
            <w:pPr>
              <w:spacing w:after="0"/>
              <w:rPr>
                <w:sz w:val="20"/>
                <w:szCs w:val="20"/>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Effective August 1, 2008, Asure adopted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38" w:lineRule="exact"/>
        <w:rPr>
          <w:sz w:val="20"/>
          <w:szCs w:val="20"/>
          <w:color w:val="auto"/>
        </w:rPr>
      </w:pPr>
    </w:p>
    <w:p>
      <w:pPr>
        <w:ind w:left="720"/>
        <w:spacing w:after="0"/>
        <w:tabs>
          <w:tab w:leader="none" w:pos="1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780" w:right="20" w:hanging="1048"/>
        <w:spacing w:after="0" w:line="277" w:lineRule="auto"/>
        <w:tabs>
          <w:tab w:leader="none" w:pos="1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840" w:right="20" w:hanging="1116"/>
        <w:spacing w:after="0" w:line="277" w:lineRule="auto"/>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0"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following table presents the fair value hierarchy for the Company’s financial assets measured at fair value on a recurring basis as of March 31, 2012 and December 31, 2011,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gridSpan w:val="8"/>
          </w:tcPr>
          <w:p>
            <w:pPr>
              <w:ind w:left="500"/>
              <w:spacing w:after="0"/>
              <w:rPr>
                <w:sz w:val="20"/>
                <w:szCs w:val="20"/>
                <w:color w:val="auto"/>
              </w:rPr>
            </w:pPr>
            <w:r>
              <w:rPr>
                <w:rFonts w:ascii="Arial" w:cs="Arial" w:eastAsia="Arial" w:hAnsi="Arial"/>
                <w:sz w:val="18"/>
                <w:szCs w:val="18"/>
                <w:b w:val="1"/>
                <w:bCs w:val="1"/>
                <w:color w:val="auto"/>
              </w:rPr>
              <w:t>Fair Value Measure at March 31, 2012</w:t>
            </w: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Quoted</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Prices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Value at</w:t>
            </w:r>
          </w:p>
        </w:tc>
        <w:tc>
          <w:tcPr>
            <w:tcW w:w="2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gridSpan w:val="8"/>
          </w:tcPr>
          <w:p>
            <w:pPr>
              <w:ind w:left="360"/>
              <w:spacing w:after="0"/>
              <w:rPr>
                <w:sz w:val="20"/>
                <w:szCs w:val="20"/>
                <w:color w:val="auto"/>
              </w:rPr>
            </w:pPr>
            <w:r>
              <w:rPr>
                <w:rFonts w:ascii="Arial" w:cs="Arial" w:eastAsia="Arial" w:hAnsi="Arial"/>
                <w:sz w:val="18"/>
                <w:szCs w:val="18"/>
                <w:b w:val="1"/>
                <w:bCs w:val="1"/>
                <w:color w:val="auto"/>
              </w:rPr>
              <w:t>Fair Value Measure at December 31, 2011</w:t>
            </w: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Quoted</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Prices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Observable</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0"/>
        </w:trPr>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RECENT ACCOUNTING PRONOUNCEMENTS</w:t>
      </w:r>
    </w:p>
    <w:p>
      <w:pPr>
        <w:spacing w:after="0" w:line="256"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 xml:space="preserve">On May 12, 2011, the FASB issued ASU 2011-04 (Topic 220):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all amendments will be applied prospectively with any changes in measurements recognized in income in the period of adoption. The adoption of these standards did not materially affect our financial position or results of operations. On June 17, 2011, the FASB issued ASU 2011-05 (Topic 820): </w:t>
      </w:r>
      <w:r>
        <w:rPr>
          <w:rFonts w:ascii="Arial" w:cs="Arial" w:eastAsia="Arial" w:hAnsi="Arial"/>
          <w:sz w:val="17"/>
          <w:szCs w:val="17"/>
          <w:i w:val="1"/>
          <w:iCs w:val="1"/>
          <w:color w:val="auto"/>
        </w:rPr>
        <w:t>Comprehensive Income</w:t>
      </w:r>
      <w:r>
        <w:rPr>
          <w:rFonts w:ascii="Arial" w:cs="Arial" w:eastAsia="Arial" w:hAnsi="Arial"/>
          <w:sz w:val="17"/>
          <w:szCs w:val="17"/>
          <w:color w:val="auto"/>
        </w:rPr>
        <w:t>. The new guidance amends disclosure requirements for the presentation of comprehensive income. The amended guidance eliminates the option to present components of other comprehensive income (“OCI”) as part of the statement of changes in shareholders' equity. All changes in OCI will be presented either in a single continuous statement of comprehensive income or in two separate but consecutive financial statements. The guidance does not change the items that must be reported in OCI. This guidance is effective for fiscal years and interim reporting periods within those years beginning after December 15, 2011 with early adoption permitted. The adoption of this guidance will not impact the Company's consolidated financial position, results of operations or cash flows and will only impact the presentation of OCI in the consolidated financial statements. We adopted these standards in the first quarter of fiscal 2012. The adoption of these standards did not affect our financial position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BASED COMPENSATION</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Share based compensation for the Company’s stock option plans for the three months ended March 31, 2012 and 2011 were $11 and $14, respectively. The Company issued 6 thousand and 0 shares of common stock related to exercises of stock options granted from its Stock Option plan for the three months ended March 31, 2012 and 2011 respectively.</w:t>
      </w:r>
    </w:p>
    <w:p>
      <w:pPr>
        <w:spacing w:after="0" w:line="181"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Asure has one active equity plan, the 2009 Equity Plan (the "2009 Plan"). The 2009 Plan provides for the issuance of non-qualified and incentive stock options to employees and consultants of the Company. Stock options are generally granted with exercise price greater than or equal to the fair market value at the time of grant and the options generally vest over three to four years and are exercisable for a period of five to ten years beginning with date of grant. The Company’s 1996 Plan expired in April 2006, whereby the Company can no longer grant options under these plans. However, options previously granted remain outstanding. A total of 519 options have been granted and are outstanding pursuant to the plan as of March 31, 2012.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Asure was the defendant or plaintiff in various actions that arose in the normal course of business. None of the pending legal proceedings to which the Company is a party are material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(LOSS) PER SHARE</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Basic Income (Loss) per share (EPS) is computed based on the weighted average number of common shares outstanding for the period. Diluted EPS reflects the maximum dilution that would have resulted from incremental common shares issuable upon the exercise of stock options. The number of common share equivalents, which includes stock options, is computed using the treasury stock method.</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tables provide the components of the basic and diluted EPS computations for the three month periods ended March 31,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2"/>
              </w:rPr>
              <w:t>For the Three Months</w:t>
            </w:r>
          </w:p>
        </w:tc>
      </w:tr>
      <w:tr>
        <w:trPr>
          <w:trHeight w:val="241"/>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left="350"/>
              <w:spacing w:after="0"/>
              <w:rPr>
                <w:sz w:val="20"/>
                <w:szCs w:val="20"/>
                <w:color w:val="auto"/>
              </w:rPr>
            </w:pPr>
            <w:r>
              <w:rPr>
                <w:rFonts w:ascii="Arial" w:cs="Arial" w:eastAsia="Arial" w:hAnsi="Arial"/>
                <w:sz w:val="18"/>
                <w:szCs w:val="18"/>
                <w:b w:val="1"/>
                <w:bCs w:val="1"/>
                <w:color w:val="auto"/>
                <w:w w:val="92"/>
              </w:rPr>
              <w:t>Ended 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Basic EPS Computation</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2011</w:t>
            </w:r>
          </w:p>
        </w:tc>
        <w:tc>
          <w:tcPr>
            <w:tcW w:w="16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(847 )</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(60 )</w:t>
            </w: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Basic Loss per share</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 xml:space="preserve">(0.18 </w:t>
            </w:r>
            <w:r>
              <w:rPr>
                <w:rFonts w:ascii="Arial" w:cs="Arial" w:eastAsia="Arial" w:hAnsi="Arial"/>
                <w:sz w:val="18"/>
                <w:szCs w:val="18"/>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(0.01 )</w:t>
            </w:r>
          </w:p>
        </w:tc>
      </w:tr>
      <w:tr>
        <w:trPr>
          <w:trHeight w:val="21"/>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4"/>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2"/>
              </w:rPr>
              <w:t>For the Three Months</w:t>
            </w:r>
          </w:p>
        </w:tc>
      </w:tr>
      <w:tr>
        <w:trPr>
          <w:trHeight w:val="241"/>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left="350"/>
              <w:spacing w:after="0"/>
              <w:rPr>
                <w:sz w:val="20"/>
                <w:szCs w:val="20"/>
                <w:color w:val="auto"/>
              </w:rPr>
            </w:pPr>
            <w:r>
              <w:rPr>
                <w:rFonts w:ascii="Arial" w:cs="Arial" w:eastAsia="Arial" w:hAnsi="Arial"/>
                <w:sz w:val="18"/>
                <w:szCs w:val="18"/>
                <w:b w:val="1"/>
                <w:bCs w:val="1"/>
                <w:color w:val="auto"/>
                <w:w w:val="92"/>
              </w:rPr>
              <w:t>Ended 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Diluted EPS Computation</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2011</w:t>
            </w:r>
          </w:p>
        </w:tc>
        <w:tc>
          <w:tcPr>
            <w:tcW w:w="16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(847 )</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(60 )</w:t>
            </w: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6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Common shares equivalents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3"/>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 xml:space="preserve">(0.18 </w:t>
            </w:r>
            <w:r>
              <w:rPr>
                <w:rFonts w:ascii="Arial" w:cs="Arial" w:eastAsia="Arial" w:hAnsi="Arial"/>
                <w:sz w:val="18"/>
                <w:szCs w:val="18"/>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(0.01 )</w:t>
            </w:r>
          </w:p>
        </w:tc>
      </w:tr>
      <w:tr>
        <w:trPr>
          <w:trHeight w:val="21"/>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Stock options to acquire 519 shares for the three month periods ended March 31, 2012 and stock options to acquire 328 shares for the three months ended March 31, 2011 were excluded in the computations of diluted EPS because the effect of including the stock options would have been anti-dilutive.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issued or assumed the following debt instruments: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as of</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Notes Payable and Line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Stated Interest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of Credit</w:t>
            </w:r>
          </w:p>
        </w:tc>
        <w:tc>
          <w:tcPr>
            <w:tcW w:w="12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Rate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March 31, 2012</w:t>
            </w:r>
          </w:p>
        </w:tc>
        <w:tc>
          <w:tcPr>
            <w:tcW w:w="22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Short Term</w:t>
            </w:r>
          </w:p>
        </w:tc>
        <w:tc>
          <w:tcPr>
            <w:tcW w:w="22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Long Term</w:t>
            </w:r>
          </w:p>
        </w:tc>
      </w:tr>
      <w:tr>
        <w:trPr>
          <w:trHeight w:val="202"/>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ADI Time - Sellers Note</w:t>
            </w:r>
          </w:p>
        </w:tc>
        <w:tc>
          <w:tcPr>
            <w:tcW w:w="1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of unamortized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discount of $206)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Legiant - Sellers Note 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2/1/2012</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0.20%</w:t>
            </w: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Legiant - Sellers Note 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Legiant - Sellers Note 3</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(net of unamortized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discount of $347)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10/1/2014</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0.20%</w:t>
            </w:r>
          </w:p>
        </w:tc>
        <w:tc>
          <w:tcPr>
            <w:tcW w:w="1360" w:type="dxa"/>
            <w:vAlign w:val="bottom"/>
          </w:tcPr>
          <w:p>
            <w:pPr>
              <w:jc w:val="right"/>
              <w:spacing w:after="0"/>
              <w:rPr>
                <w:sz w:val="20"/>
                <w:szCs w:val="20"/>
                <w:color w:val="auto"/>
              </w:rPr>
            </w:pPr>
            <w:r>
              <w:rPr>
                <w:rFonts w:ascii="Arial" w:cs="Arial" w:eastAsia="Arial" w:hAnsi="Arial"/>
                <w:sz w:val="18"/>
                <w:szCs w:val="18"/>
                <w:color w:val="auto"/>
              </w:rPr>
              <w:t>1,384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Subordinated Convertible</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of unamortized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discount of $54)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9/30/2014</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Subordinated Notes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9/30/2014</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15.00%</w:t>
            </w:r>
          </w:p>
        </w:tc>
        <w:tc>
          <w:tcPr>
            <w:tcW w:w="1360" w:type="dxa"/>
            <w:vAlign w:val="bottom"/>
          </w:tcPr>
          <w:p>
            <w:pPr>
              <w:jc w:val="right"/>
              <w:spacing w:after="0"/>
              <w:rPr>
                <w:sz w:val="20"/>
                <w:szCs w:val="20"/>
                <w:color w:val="auto"/>
              </w:rPr>
            </w:pPr>
            <w:r>
              <w:rPr>
                <w:rFonts w:ascii="Arial" w:cs="Arial" w:eastAsia="Arial" w:hAnsi="Arial"/>
                <w:sz w:val="18"/>
                <w:szCs w:val="18"/>
                <w:color w:val="auto"/>
              </w:rPr>
              <w:t>1,700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9/28/2012</w:t>
            </w:r>
          </w:p>
        </w:tc>
        <w:tc>
          <w:tcPr>
            <w:tcW w:w="1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5,246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Time - Sellers Note</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conjunction with the acquisition of ADI Software, LLC; the Company entered into a Promissory Note in the amount of $1,095 with the Seller. The Promissory Note bears interest at an annual rate of 0.16%, will mature on October 1, 2014, and is guaranteed by the Company. The Purchaser may offset any indemnification payments owed by the Seller under the APA against up to $1,000 under the Purchaser Note. The Company recorded the note at fair value using a discount rate of 9%, which resulted in an unamortized discount of $226, which will accrete up the note to its aggregate principal amount over the course of the life of the loan using the effective interest method.</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conjunction with the acquisition of Legiant Software, LLC the Company entered into three separate Promissory Notes all payable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Sellers. The details of each of the Promissory Notes are as 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 Sellers Note #1</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Legiant Acquisition-Sellers Note #1 was for an aggregate principal amount of $250 bears interest at an annual rate of 0.20%, matured on February 1, 2012, and was paid in full.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Acquisition-Sellers Note #2</w:t>
      </w:r>
    </w:p>
    <w:p>
      <w:pPr>
        <w:spacing w:after="0" w:line="252"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Legiant Acquisition-Sellers Note #2 is for the principal amount of $478, bears interest at an annual rate of 5.00% and requires monthly payments of $10 until the maturity date of October 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Acquisition-Sellers Note #3</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Legiant Acquisition-Sellers Note #3 is for an aggregate principal amount of $1,761, bears interest at an annual rate of 0.20%, and will mature on October 1, 2014 when all interest and principal are due. The Company may offset any indemnification payments owed by the Seller under the acquisition agreement against up to $1 million under Sellers Note #3. The Company recorded the note at fair value using a discount rate of 9%, which resulted in an unamortized discount of $377, which will accrete up the note to its aggregate principal amount over the course of the life of the loan using the effective interest method and will be payable, in cash, on October 1, 2014.</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three promissory notes are guaranteed by the Company and are subordinated to the Company’s bank financing discussed below.</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September 30, 2011, the Company entered into a Securities Purchase Agreement (the “9% Note Purchase Agreement”) relating to the sale of $1,500 aggregate principal amount of the Company’s 9% subordinated convertible notes (“9% Notes”) in a private placement to accredited investors to finance the ADI acquisition. The 9% Notes will pay interest on each of March 31, June 30, September 30 and December 31, beginning on December 31, 2011, at a rate of 9% per year. The 9% Note will mature on September 30, 2014. The 9% Note is secured by all of the assets of the Company and is subordinated to the Company’s obligations to the Bank and the 15% Notes.</w:t>
      </w:r>
    </w:p>
    <w:p>
      <w:pPr>
        <w:spacing w:after="0" w:line="21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Beginning 12 months from the date of issuance, the holder may convert the 9% Notes into shares of the Company’s common stock at a conversion price of $5.00 per share. The conversion price will be adjusted for certain events, such as stock dividends and stock splits. Additionally, if the Company subsequently issues common stock at a price below the then current conversion price, the conversion price will be reset to the greater of $3.27 per share (the closing price of the Company’s Common Stock on September 30, 2011) or such lower price. In the event that a holder of a 9% Note elects to convert the 9% Note into equity, and the Company determines that such conversion would jeopardize the Company’s tax benefits under Section 382 of the Internal Revenue Code, the Company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the Company multiplied by the Premium Rate. The Premium Rate is 1.1 if a holder notifies the Company of an intention to convert their 9% Note into equity prior to the date that is 90 days before the maturity date and 1.5 if such notification is made within 90 days of the maturity date. The 9% Notes also contain customary terms of default.</w:t>
      </w:r>
    </w:p>
    <w:p>
      <w:pPr>
        <w:spacing w:after="0" w:line="19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9% Note Purchase Agreement provides that, if the Company issues common stock below $3.25 per share, each holder of the 9% Notes outstanding at that time will have the right to purchase its pro rata portion of such stock issuance.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38"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These convertible notes contain embedded derivative instruments related to the conversion feature that are accounted for separately. The derivative instruments entered into to finance the ADI acquisition. The fair values of these instruments are re-measured each reporting period and a gain or loss is recorded for the change in fair value. At inception, the conversion feature was valued at $274 and resulted in an original issue discount on the convertible debt, which will accrete up the note to its aggregate principal amount over the course of the life of the loan using the effective interest method. The Company used a Monte Carlo simulation in a risk-neutral framework to simulate market capitalization outcomes of the Company, including considerations of the Company’s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the consolidated statements of operations.</w:t>
      </w:r>
    </w:p>
    <w:p>
      <w:pPr>
        <w:spacing w:after="0" w:line="206"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Effective on March 10, 2012,the terms of the convertible notes were amended to eliminate the embedded derivative features resulting in a settlement or extinguishment of the derivative liability. Under the terms of the amendment, each holder of 9% Notes is permitted to convert the outstanding principal balance due there under into shares of Common Stock of the Company at the conversion price originally set forth in the 9% Notes ($5.00 per share of Common Stock) on or before March 15, 2012, provide to the holders of the 9% Notes, as consideration for agreeing to the terms of the amendment, a one time cash payment, in such amount as follows: (i) with respect to holders of 9% Notes who do not elect to convert their Convertible Note prior to March 16, 2012, an amount equal to 3% of the outstanding principal amount of their 9% Note and (B) with respect to holders of 9% Notes who elect to convert their Convertible Note prior to March 16, 2012, an amount equal to 80% of the interest that such holder would have received if such holder had held the 9% Note to maturity, and remove the dilution protection provision which would have reset the conversion price below $5.00 per share in the event that the Company made certain issuances of Common Stock at a price below $5.00 per share of Common Stock. Approximately $1,150 of the total $1,500 of principal amount of 9% Notes was converted to shares of Common Stock.</w:t>
      </w:r>
    </w:p>
    <w:p>
      <w:pPr>
        <w:spacing w:after="0" w:line="20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The amendment to the 9% Notes resulted in a change of accounting treatment of the derivatives. Effective on March 10, 2012, the derivatives were no longer required to be accounted for on a separate basis. Therefore, the Company will no longer be required to re-measure the value of the derivatives after the amendment date. The fair value of the conversion feature was $1,300 at March 31, 2012, with $465 being recorded in the income statement for the mark-to-market impact. This amount of $465 was recorded in interest expense – amortization of OID and derivative mark-to-market in the consolidated statements of operations. The conversion of the 9% Notes and elimination of the derivative liability resulted in a loss on debt conversion of $199, a reduction in the carrying value of the 9% Notes to $296 at March 31, 2012, and an increase in additional paid in capital of $2,255 for the issuance of 230 shares for the Common Stock issued upon conversion. The Company also made cash payments of $211 to holders that elected to convert in accordance with the terms of the amendment.</w:t>
      </w:r>
    </w:p>
    <w:p>
      <w:pPr>
        <w:spacing w:after="0" w:line="21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Mr. Goepel, the Company’s Chief Executive Officer, purchased $200 of the 9% Notes. Red Oak Fund, LP purchased $600 of the 9% Notes. Mr. Sandberg, the Company’s Chairman, is the controlling member of Red Oak Partners, LLC, which manages the Red Oak Fund. Both parties subsequently converted the 9% Notes under the terms of the amendment.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September 30, 2011, the Company entered into a Securities Purchase Agreement (the “15% Note Purchase Agreement”) relating to the sale of $1,700 aggregate principal amount of the Company’s 15% subordinated notes (“15% Notes”) in a private placement to accredited investors. The 15% Note will pay interest on each of March 31, June 30, September 30 and December 31, beginning on December 31, 2011, at a rate of 15% per year. The 15% Notes will mature on September 30, 2014. The 15% Notes are secured by all of the assets of the Company and are subordinated to the Company’s obligations to the Bank. The 15% Notes also contain customary terms of default.</w:t>
      </w:r>
    </w:p>
    <w:p>
      <w:pPr>
        <w:spacing w:after="0" w:line="21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Patrick Goepel, the Company’s Chief Executive Officer purchased $500 of the 15% Notes. Pinnacle Fund, LLLP purchased $300 of the 15% Notes. David Sandberg, the Company’s Chairman, is the controlling member of Red Oak Partners, LLC, which owns 50% of Pinnacle Partners, LLC, which is the general partner of the Pinnacle Fund, LLLP. Red Oak Partners, LLC is also the manager of the Pinnacle Fund, LLLP.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29, 2011, the Company entered into a Credit Agreement with JPMorgan Chase Bank N.A. (“Bank”), providing for a $500 line of credit (the “Credit Agreement”), which was fully utilized as of December 31, 2011. The line of credit bears interest at a rate of 1.5% above the CB Floating Rate and matures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obligations to the Bank are guaranteed by ADI Software, LLC, a wholly owned subsidiary of the Company, and secured by all of the assets of the Company and its subsidiaries. The Credit Agreement contains customary affirmative and negative covenants, including but not limited to limitations with respect to debt, liens, sale of equity interests, mergers and acquisitions, sale of assets, and loans or advances to and investments in others. The Company is also required to maintain total cash and marketable securities of not less than $300, beginning on December 31, 2011; a debt service coverage ratio of not less than 1.2 to 1.0 for each period of four consecutive fiscal quarters beginning the twelve months ending December 31, 2011; and EBITDA of not less than $100 for each fiscal quarter beginning the quarter ending December 31, 2011. The Company was in compliance with these covenants at December 31, 2011.</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Events of default under the Credit Agreement include, among others, (i) the failure to pay when due the obligations owing to the Bank, (ii) the failure to perform covenants set forth in the Credit Agreement (as described above), (iii) any materially incorrect or misleading representation, warranty or certificate to the Bank, (iv) any materially incorrect or misleading representation in any financial statement or other information delivered to the Bank, (v) certain cross defaults and cross accelerations, (vi) the failure to perform under the guaranty, (vii) the occurrence of certain bankruptcy or insolvency events,</w:t>
      </w:r>
    </w:p>
    <w:p>
      <w:pPr>
        <w:spacing w:after="0" w:line="2" w:lineRule="exact"/>
        <w:rPr>
          <w:sz w:val="20"/>
          <w:szCs w:val="20"/>
          <w:color w:val="auto"/>
        </w:rPr>
      </w:pPr>
    </w:p>
    <w:p>
      <w:pPr>
        <w:ind w:firstLine="8"/>
        <w:spacing w:after="0" w:line="261"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judgments against the Company or its subsidiaries, and (ix) certain material adverse changes. In some cases, the events of default are subject to customary notice and grace period provisions.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currently has $500 borrowed under the line of credit for working capital.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following review of Asure’s financial position as of March 31, 2012 and December 31, 2011 and for the three months ended March 31, 2012 and 2011 should be read in conjunction with the Company’s 2011 Annual Report on Form 10-K filed with the Securities and Exchange Commission. Asure’s internet website address is http://www.asuresoftware.com. The Company’s annual reports on Form 10-K, quarterly reports on Form 10-Q, current reports on Form 8-K and amendments to those reports filed or furnished pursuant to Section 13(a) or 15(d) of the Securities Exchange Act of 1934 are available through the investor relations page of the Company’s internet website free of charge as soon as reasonably practicable after they are electronically filed, or furnished to, the Securities and Exchange Commission. Asure’s internet website and the information contained therein or connected thereto are not intended to be incorporated into this Quarterly Report on Form 10-Q.</w:t>
      </w:r>
    </w:p>
    <w:p>
      <w:pPr>
        <w:spacing w:after="0" w:line="17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 currently offers two main product lines in its software and services business: NetSimplicity and iEmployee. Asure’s NetSimplicity product line provides simple and affordable solutions to common office administration problems. NetSimplicity’s flagship product, Meeting Room Manager (“MRM”), automates the entire facility scheduling process: reserving rooms, requesting equipment, ordering food, sending invitations, reporting on the meeting environment and more. Asure’s iEmployee product line helps simplify the HR process and improves employee productivity by managing and communicating human resources, employee benefits and payroll information. iEmployee's web-based solutions include Time &amp; Attendance, Timesheets, Human Resource Benefits, Expenses and others.</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On March 27, 2012, the Board of Directors declared a 3-for-2 stock split, payable April 30, 2012 to the holders of record of the Company’s common stock as of the close of business on April 23, 2012. The Company will make cash payments based upon the closing price of the Company’s shares on the record date in lieu of the issuance of fractional shares. Share and per share information in these financial statements reflect the impact of the 3 for 2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187"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Operations for the fiscal periods indicated: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5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rPr>
              <w:t>FOR THE THREE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25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rPr>
              <w:t>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1"/>
        </w:trPr>
        <w:tc>
          <w:tcPr>
            <w:tcW w:w="5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100 %</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100 %</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60" w:type="dxa"/>
            <w:vAlign w:val="bottom"/>
          </w:tcPr>
          <w:p>
            <w:pPr>
              <w:jc w:val="right"/>
              <w:spacing w:after="0"/>
              <w:rPr>
                <w:sz w:val="20"/>
                <w:szCs w:val="20"/>
                <w:color w:val="auto"/>
              </w:rPr>
            </w:pPr>
            <w:r>
              <w:rPr>
                <w:rFonts w:ascii="Arial" w:cs="Arial" w:eastAsia="Arial" w:hAnsi="Arial"/>
                <w:sz w:val="18"/>
                <w:szCs w:val="18"/>
                <w:color w:val="auto"/>
              </w:rPr>
              <w:t>74.8</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72.7</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(21.5 )</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(1.1 )</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(20.4 )</w:t>
            </w:r>
          </w:p>
        </w:tc>
        <w:tc>
          <w:tcPr>
            <w:tcW w:w="9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(2.5 )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Consolidated revenues represent the combined revenues of the Company and its subsidiaries, including sales of the Company’s scheduling software, human resource and time and attendance software, complementary hardware devices to enhance its software products, software maintenance and support services, installation and training services and other professional services.</w:t>
      </w:r>
    </w:p>
    <w:p>
      <w:pPr>
        <w:spacing w:after="0" w:line="181"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Revenues for the three months ended March 31, 2012 were $4,153, an increase of $1,796, or 76.2%, from the $2,357 reported for the three months ended March 31, 2011. This was primarily due to $1,710 of revenues generated by ADI Time and Legiant acquired during the fourth quarter of 2011.</w:t>
      </w:r>
    </w:p>
    <w:p>
      <w:pPr>
        <w:spacing w:after="0" w:line="15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Asure will continue to target small and medium businesses and divisions of enterprises. In addition to continuing to develop its workforce management solutions and release new software updates and enhancements, the Company is actively exploring other opportunities to acquire additional products or technologies to complement its current software and services. In 2011, the Company acquired ADI Time and Legiant to enhance both its channel delivery capabilities and its time and labor management technology.</w:t>
      </w:r>
    </w:p>
    <w:p>
      <w:pPr>
        <w:spacing w:after="0" w:line="214" w:lineRule="exact"/>
        <w:rPr>
          <w:sz w:val="20"/>
          <w:szCs w:val="20"/>
          <w:color w:val="auto"/>
        </w:rPr>
      </w:pPr>
    </w:p>
    <w:p>
      <w:pPr>
        <w:jc w:val="both"/>
        <w:ind w:right="20" w:firstLine="1012"/>
        <w:spacing w:after="0" w:line="264" w:lineRule="auto"/>
        <w:rPr>
          <w:sz w:val="20"/>
          <w:szCs w:val="20"/>
          <w:color w:val="auto"/>
        </w:rPr>
      </w:pPr>
      <w:r>
        <w:rPr>
          <w:rFonts w:ascii="Arial" w:cs="Arial" w:eastAsia="Arial" w:hAnsi="Arial"/>
          <w:sz w:val="18"/>
          <w:szCs w:val="18"/>
          <w:color w:val="auto"/>
        </w:rPr>
        <w:t>Asure also is implementing marketing initiatives, including tailoring its solutions to provide increased value and a simplified purchasing model to targeted customers. As the overall workforce management solutions market continues to experience significant growth related to software as a service (“SaaS”) products, Asure will continue to focus on sales of its MRM, iEmployee and ADI SaaS products. .</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Gross margins for the three months ended March 31, 2012 were $3,107, an increase of $1,190, or 62.1%, from the $1,917 reported for the three months ended March 31, 2011. Gross margins as a percentage of revenues were 74.8% and 81.3% for the three months ended March 31, 2012 and 2011, respectively. Of the total increase in gross margins of $1,190, $ 1,095 was attributable to the acquisition of ADI Time and Legiant in the fourth quarter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Selling, general and administrative (“SG&amp;A”) expenses for the three months ended March 31, 2012 were $2,135, an increase of $734 or 52.4%, from the $1,401 reported for the three months ended March 31, 2011. SG&amp;A expenses as a percentage of revenues were 51.4% and 59.4% for the three months ended March 31, 2012 and 2011, respectively. The increase was primarily due to expenses associated with the acquisitions of ADI Time and Legiant and executive bonuses.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Research and development (“R&amp;D”) expenses for the three months ended March 31, 2012 were $591, an increase of $200, or 51.2%, from the $391 reported for the three months ended March 31, 2011. R&amp;D expenses as a percentage of revenues were 14.2% and 16.6% for the three months ended March 31, 2012 and 2011, respectively. Of the total increase in R&amp;D expenses , $275 was driven by acquisition of ADI Time and Legiant in the fourth quarter of 2011</w:t>
      </w:r>
    </w:p>
    <w:p>
      <w:pPr>
        <w:spacing w:after="0" w:line="214"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Asure continues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a technological edge with competition.</w:t>
      </w:r>
    </w:p>
    <w:p>
      <w:pPr>
        <w:spacing w:after="0" w:line="200"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a few minor versions in 2010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Asure’s development efforts for future releases and enhancements are driven by feedback received from its existing and potential customers and by gauging market trends. Management believes it has the appropriate development team to design and further improve its workforce management solutions.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Amortization expenses for the three months ended March 31, 2012 were $292, an increase of $143 or 96% from the $149 reported for the three months ended March 31, 2011. Amortization expenses as a percentage of revenues were 7.0% and 6.3% for the three months ended March 31, 2012 and 2011, respectively The increase in amortization expense relate to the acquisition of ADI Time and Legiant in the fourth quarter of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Other expense for the period ended March 31, 2012 was $891, an increase of $864 from the $27 reported for the three months ended March 31, 2011. Other expense as a percentage of revenues was 21.5% and 1.1% for the three months ended March 31, 2012 and 2011, respectively. The increase in other expense is due to loss on debt conversion $199, amortization of OID and derivative mark-to-market of $535 and quarterly Interest on Debt and others $120.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Asure generated a net loss of $847, or $0.18 per share, during the three months ended March 31, 2012, compared to a net loss of $60 or $0.01 per share reported for the three months ended March 31, 2011. Net loss as a percentage of total revenues were 20.4% for the three months ended March 31, 2012 compared to Net Loss of 2.5% for the three months ended March 31, 2011.</w:t>
      </w:r>
    </w:p>
    <w:p>
      <w:pPr>
        <w:spacing w:after="0" w:line="18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will continue to implement its corporate strategy for growing its software and services business by modestly investing in areas that directly generate revenue and positive cash flows for the Company. However, uncertainties and challenges remain, especially during this macroeconomic environment downturn, and there can be no assurance that the Company can successfully grow its revenues or achieve profitability during the remainder of fiscal year 2012.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8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rPr>
              <w:t>FOR THE THREE MONTHS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8"/>
              </w:rPr>
              <w:t>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750"/>
              <w:spacing w:after="0"/>
              <w:rPr>
                <w:sz w:val="20"/>
                <w:szCs w:val="20"/>
                <w:color w:val="auto"/>
              </w:rPr>
            </w:pPr>
            <w:r>
              <w:rPr>
                <w:rFonts w:ascii="Arial" w:cs="Arial" w:eastAsia="Arial" w:hAnsi="Arial"/>
                <w:sz w:val="18"/>
                <w:szCs w:val="18"/>
                <w:color w:val="auto"/>
              </w:rPr>
              <w:t>(4,254 )  $</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(147 )</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5"/>
              </w:rPr>
              <w:t>Cash, cash equivalents and short-term investments</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1,375</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provided/(used) in operating activities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provided/(used) in investing activities</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9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provided/(used) in financing activities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(494 )</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1440" w:type="dxa"/>
            <w:vAlign w:val="bottom"/>
          </w:tcPr>
          <w:p>
            <w:pPr>
              <w:spacing w:after="0"/>
              <w:rPr>
                <w:sz w:val="18"/>
                <w:szCs w:val="18"/>
                <w:color w:val="auto"/>
              </w:rPr>
            </w:pPr>
          </w:p>
        </w:tc>
      </w:tr>
      <w:tr>
        <w:trPr>
          <w:trHeight w:val="581"/>
        </w:trPr>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40" w:type="dxa"/>
            <w:vAlign w:val="bottom"/>
          </w:tcPr>
          <w:p>
            <w:pPr>
              <w:jc w:val="right"/>
              <w:ind w:right="910"/>
              <w:spacing w:after="0"/>
              <w:rPr>
                <w:sz w:val="20"/>
                <w:szCs w:val="20"/>
                <w:color w:val="auto"/>
              </w:rPr>
            </w:pPr>
            <w:r>
              <w:rPr>
                <w:rFonts w:ascii="Arial" w:cs="Arial" w:eastAsia="Arial" w:hAnsi="Arial"/>
                <w:sz w:val="18"/>
                <w:szCs w:val="18"/>
                <w:color w:val="auto"/>
              </w:rPr>
              <w:t>19</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Working capital was ($4,254) on March 31, 2012, a decrease of $4,107 from ($147) on March 31, 2011. The decrease was primarily due to increase in Deferred Revenue of acquired companies $2,814, increase in account payable $769 and an increase of $500 in note payable.</w:t>
      </w:r>
    </w:p>
    <w:p>
      <w:pPr>
        <w:spacing w:after="0" w:line="17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Cash provided by operating activities was $609 for the three months ended March 31, 2012 primarily due to a loss of ($847) which was offset by the non-cash loss on debt conversion of $199, depreciation and amortization of $404, Interest expense on amortization of OID and derivative mark-to-market of $535, and due to decrease in accounts payable, accrued expenses and deferred revenue of $ 246. Cash provided by operating activities was $312 for the three months ended March 31, 2011 primarily to reduction in accounts receivable of $206; $238 of depreciation and amortization expenses; a net loss of $60 and a decrease in accrued expenses of $71.</w:t>
      </w:r>
    </w:p>
    <w:p>
      <w:pPr>
        <w:spacing w:after="0" w:line="21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Cash used in investing activities was ($21) for the three months ended March 31, 2012 due to net purchases of property and equipment for $45 which was offset by collection of notes receivable of $24. Cash used in investing activities was ($8) for the three months ended March 31, 2011 due to net purchases of property and equipment. Asure’s current operations are not capital intensive and management does not anticipate any significant capital expenditures during the remainder of calendar year 2012.</w:t>
      </w:r>
    </w:p>
    <w:p>
      <w:pPr>
        <w:spacing w:after="0" w:line="18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Company leases office space and equipment under non-cancelable operating leases that expire at various dates through 2015. Certain leases obligate Asure to pay property taxes, maintenance and insurance and include escalation clauses. Approximately $1,351 or 77.3% of the Company’s total operating lease obligations relate to its corporate office facility at Wild Basin in Austin, Texas.</w:t>
      </w:r>
    </w:p>
    <w:p>
      <w:pPr>
        <w:spacing w:after="0" w:line="181"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Management continues to evaluate and reduce any unnecessary expenditure, while continuing to closely monitor all of its cash sources and uses as it manages its operations.</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Cash used in financing activities was ($494) for the three months ended March 31, 2012 was primarily related to payments on notes payable conversion of $222 and on capital leases and notes payable of $286. Cash used in financing activities was ($12) for the three months ended March 31, 2011 related to payments on capital leases. Management believes it currently has sufficient cash and short-term investments on hand to fund its operations during the next twelve months and beyond without needing to obtain long-term financing. Therefore, the Company does not anticipate that it will be affected by any credit shortage in the current economic business environment.</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Pursuant to Asure’s stock repurchase plan, the Company is allowed to repurchase up to 300,000 shares (adjusted for the 10 to 1 reverse stock split) of the Company’s common stock. In total, Asure has repurchased 256,107 shares for approximately $5.0 million over the life of the plan, including 43,364 shares of common stock for $110 purchased in 2010. Management will periodically assess repurchasing additional shares, depending on the Company’s cash position, market conditions and other factors.</w:t>
      </w:r>
    </w:p>
    <w:p>
      <w:pPr>
        <w:spacing w:after="0" w:line="214"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As of March 31, 2012, Asure’s principal source of liquidity consisted of $1,189 of current cash and cash equivalents as well as future cash generated from operations. The Company is continuing to reduce expenses and thus may utilize its cash balances in the short-term to reduce long-term costs. The Company expects that it will be able to generate positive cash flows from operating activities for the remainder of 2012.</w:t>
      </w:r>
    </w:p>
    <w:p>
      <w:pPr>
        <w:spacing w:after="0" w:line="166"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and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2011. For additional information on critical accounting policies, refer to “Management’s Discussion and Analysis” in our 2010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under the Exchange Act and is not required to provide the information required under this item.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for the Company. 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as of March 31,2012 to provide reasonable assurance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principal executive officer and principal financial officer, as appropriate to allow timely decisions regarding required disclosure.</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5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During the period ended March 31, 2012, there were no changes in the Company’s internal control over financial reporting that have materially affected, or are reasonably likely to materially affect, the Company’s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32"/>
        </w:trPr>
        <w:tc>
          <w:tcPr>
            <w:tcW w:w="11420" w:type="dxa"/>
            <w:vAlign w:val="bottom"/>
            <w:gridSpan w:val="6"/>
          </w:tcPr>
          <w:p>
            <w:pPr>
              <w:spacing w:after="0"/>
              <w:rPr>
                <w:sz w:val="20"/>
                <w:szCs w:val="20"/>
                <w:color w:val="auto"/>
              </w:rPr>
            </w:pPr>
            <w:r>
              <w:rPr>
                <w:rFonts w:ascii="Arial" w:cs="Arial" w:eastAsia="Arial" w:hAnsi="Arial"/>
                <w:sz w:val="18"/>
                <w:szCs w:val="18"/>
                <w:b w:val="1"/>
                <w:bCs w:val="1"/>
                <w:color w:val="auto"/>
              </w:rPr>
              <w:t>ITEM 3.   DEFAULTS UPON SENIOR SECURITIES</w:t>
            </w:r>
          </w:p>
        </w:tc>
      </w:tr>
      <w:tr>
        <w:trPr>
          <w:trHeight w:val="432"/>
        </w:trPr>
        <w:tc>
          <w:tcPr>
            <w:tcW w:w="820" w:type="dxa"/>
            <w:vAlign w:val="bottom"/>
          </w:tcPr>
          <w:p>
            <w:pPr>
              <w:spacing w:after="0"/>
              <w:rPr>
                <w:sz w:val="24"/>
                <w:szCs w:val="24"/>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59"/>
        </w:trPr>
        <w:tc>
          <w:tcPr>
            <w:tcW w:w="11420" w:type="dxa"/>
            <w:vAlign w:val="bottom"/>
            <w:gridSpan w:val="6"/>
          </w:tcPr>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tc>
      </w:tr>
      <w:tr>
        <w:trPr>
          <w:trHeight w:val="459"/>
        </w:trPr>
        <w:tc>
          <w:tcPr>
            <w:tcW w:w="820" w:type="dxa"/>
            <w:vAlign w:val="bottom"/>
          </w:tcPr>
          <w:p>
            <w:pPr>
              <w:spacing w:after="0"/>
              <w:rPr>
                <w:sz w:val="24"/>
                <w:szCs w:val="24"/>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5"/>
          </w:tcPr>
          <w:p>
            <w:pPr>
              <w:ind w:left="2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820" w:type="dxa"/>
            <w:vAlign w:val="bottom"/>
          </w:tcPr>
          <w:p>
            <w:pPr>
              <w:spacing w:after="0"/>
              <w:rPr>
                <w:sz w:val="24"/>
                <w:szCs w:val="24"/>
                <w:color w:val="auto"/>
              </w:rPr>
            </w:pPr>
          </w:p>
        </w:tc>
        <w:tc>
          <w:tcPr>
            <w:tcW w:w="10600" w:type="dxa"/>
            <w:vAlign w:val="bottom"/>
            <w:gridSpan w:val="5"/>
          </w:tcPr>
          <w:p>
            <w:pPr>
              <w:ind w:left="160"/>
              <w:spacing w:after="0"/>
              <w:rPr>
                <w:sz w:val="20"/>
                <w:szCs w:val="20"/>
                <w:color w:val="auto"/>
              </w:rPr>
            </w:pPr>
            <w:r>
              <w:rPr>
                <w:rFonts w:ascii="Arial" w:cs="Arial" w:eastAsia="Arial" w:hAnsi="Arial"/>
                <w:sz w:val="18"/>
                <w:szCs w:val="18"/>
                <w:color w:val="auto"/>
              </w:rPr>
              <w:t>None</w:t>
            </w: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6"/>
        </w:trPr>
        <w:tc>
          <w:tcPr>
            <w:tcW w:w="8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15"/>
                <w:szCs w:val="15"/>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1"/>
              </w:rPr>
              <w:t>The following materials from Asure Software, Inc.'s Quarterly Report on Form 10-Q for the quarter ended September 30, 2011, formatted</w:t>
            </w:r>
          </w:p>
        </w:tc>
      </w:tr>
      <w:tr>
        <w:trPr>
          <w:trHeight w:val="230"/>
        </w:trPr>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2"/>
              </w:rPr>
              <w:t>in XBRL (Extensible Business Reporting Language): (1) the Condensed Consolidated Balance Sheets, (2) the Condensed Consolidated</w:t>
            </w:r>
          </w:p>
        </w:tc>
      </w:tr>
    </w:tbl>
    <w:p>
      <w:pPr>
        <w:ind w:left="1420" w:right="20"/>
        <w:spacing w:after="0" w:line="261" w:lineRule="auto"/>
        <w:rPr>
          <w:sz w:val="20"/>
          <w:szCs w:val="20"/>
          <w:color w:val="auto"/>
        </w:rPr>
      </w:pPr>
      <w:r>
        <w:rPr>
          <w:rFonts w:ascii="Arial" w:cs="Arial" w:eastAsia="Arial" w:hAnsi="Arial"/>
          <w:sz w:val="18"/>
          <w:szCs w:val="18"/>
          <w:color w:val="auto"/>
        </w:rPr>
        <w:t>Statements of Operations, (3) the Condensed Consolidated Statements of Cash Flows, and (4) Notes to Consolidated Financial Statements, tagged as blocks of text.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May 15 , 2012</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101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May 15, 2012</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101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42"/>
        </w:trPr>
        <w:tc>
          <w:tcPr>
            <w:tcW w:w="10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rPr>
              <w:t>INDEX TO EXHIBITS</w:t>
            </w:r>
          </w:p>
        </w:tc>
      </w:tr>
      <w:tr>
        <w:trPr>
          <w:trHeight w:val="630"/>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000" w:type="dxa"/>
            <w:vAlign w:val="bottom"/>
            <w:gridSpan w:val="3"/>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1"/>
              </w:rPr>
              <w:t>The following materials from Asure Software, Inc.'s Quarterly Report on Form 10-Q for the quarter ended September 30, 2011, formatted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2"/>
              </w:rPr>
              <w:t>in XBRL (Extensible Business Reporting Language): (1) the Condensed Consolidated Balance Sheets, (2) the Condensed Consolidated</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89"/>
              </w:rPr>
              <w:t>Statements of Operations, (3) the Condensed Consolidated Statements of Cash Flows, and (4) Notes to Consolidated Financial Statements,</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tagged as blocks of text.</w:t>
            </w:r>
          </w:p>
        </w:tc>
      </w:tr>
      <w:tr>
        <w:trPr>
          <w:trHeight w:val="581"/>
        </w:trPr>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gridSpan w:val="2"/>
          </w:tcPr>
          <w:p>
            <w:pPr>
              <w:jc w:val="right"/>
              <w:ind w:right="790"/>
              <w:spacing w:after="0"/>
              <w:rPr>
                <w:sz w:val="20"/>
                <w:szCs w:val="20"/>
                <w:color w:val="auto"/>
              </w:rPr>
            </w:pPr>
            <w:r>
              <w:rPr>
                <w:rFonts w:ascii="Arial" w:cs="Arial" w:eastAsia="Arial" w:hAnsi="Arial"/>
                <w:sz w:val="18"/>
                <w:szCs w:val="18"/>
                <w:color w:val="auto"/>
              </w:rPr>
              <w:t>24</w:t>
            </w:r>
          </w:p>
        </w:tc>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8"/>
        </w:trPr>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1"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2012)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880" w:val="left"/>
          <w:tab w:leader="none" w:pos="4340" w:val="left"/>
        </w:tabs>
        <w:rPr>
          <w:sz w:val="20"/>
          <w:szCs w:val="20"/>
          <w:color w:val="auto"/>
        </w:rPr>
      </w:pPr>
      <w:r>
        <w:rPr>
          <w:rFonts w:ascii="Arial" w:cs="Arial" w:eastAsia="Arial" w:hAnsi="Arial"/>
          <w:sz w:val="18"/>
          <w:szCs w:val="18"/>
          <w:color w:val="auto"/>
        </w:rPr>
        <w:t>Date: May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14605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David Scoglio, certify that:</w:t>
      </w:r>
    </w:p>
    <w:p>
      <w:pPr>
        <w:spacing w:after="0" w:line="225"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2012)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4100" w:val="left"/>
          <w:tab w:leader="none" w:pos="4560" w:val="left"/>
        </w:tabs>
        <w:rPr>
          <w:sz w:val="20"/>
          <w:szCs w:val="20"/>
          <w:color w:val="auto"/>
        </w:rPr>
      </w:pPr>
      <w:r>
        <w:rPr>
          <w:rFonts w:ascii="Arial" w:cs="Arial" w:eastAsia="Arial" w:hAnsi="Arial"/>
          <w:sz w:val="18"/>
          <w:szCs w:val="18"/>
          <w:color w:val="auto"/>
        </w:rPr>
        <w:t>Date: May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4440" w:val="left"/>
          <w:tab w:leader="none" w:pos="4900" w:val="left"/>
        </w:tabs>
        <w:rPr>
          <w:sz w:val="20"/>
          <w:szCs w:val="20"/>
          <w:color w:val="auto"/>
        </w:rPr>
      </w:pPr>
      <w:r>
        <w:rPr>
          <w:rFonts w:ascii="Arial" w:cs="Arial" w:eastAsia="Arial" w:hAnsi="Arial"/>
          <w:sz w:val="18"/>
          <w:szCs w:val="18"/>
          <w:color w:val="auto"/>
        </w:rPr>
        <w:t>Date: May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3152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David Scoglio, do hereby certify, pursuant to 18 U.S.C. Section 1350, as adopted by Section 906 of the Sarbanes-Oxley Act of 2002, that:</w:t>
      </w:r>
    </w:p>
    <w:p>
      <w:pPr>
        <w:spacing w:after="0" w:line="248" w:lineRule="exact"/>
        <w:rPr>
          <w:sz w:val="20"/>
          <w:szCs w:val="20"/>
          <w:color w:val="auto"/>
        </w:rPr>
      </w:pPr>
    </w:p>
    <w:p>
      <w:pPr>
        <w:ind w:firstLine="332"/>
        <w:spacing w:after="0" w:line="277" w:lineRule="auto"/>
        <w:tabs>
          <w:tab w:leader="none" w:pos="52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4100" w:val="left"/>
          <w:tab w:leader="none" w:pos="4560" w:val="left"/>
        </w:tabs>
        <w:rPr>
          <w:sz w:val="20"/>
          <w:szCs w:val="20"/>
          <w:color w:val="auto"/>
        </w:rPr>
      </w:pPr>
      <w:r>
        <w:rPr>
          <w:rFonts w:ascii="Arial" w:cs="Arial" w:eastAsia="Arial" w:hAnsi="Arial"/>
          <w:sz w:val="18"/>
          <w:szCs w:val="18"/>
          <w:color w:val="auto"/>
        </w:rPr>
        <w:t>Date: May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Roman"/>
      <w:start w:val="8"/>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2019-12-09T11:29:09Z</dcterms:created>
  <dcterms:modified xsi:type="dcterms:W3CDTF">2019-12-09T11:29:09Z</dcterms:modified>
</cp:coreProperties>
</file>