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3978275</wp:posOffset>
            </wp:positionH>
            <wp:positionV relativeFrom="paragraph">
              <wp:posOffset>-625475</wp:posOffset>
            </wp:positionV>
            <wp:extent cx="58420" cy="638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742950</wp:posOffset>
            </wp:positionV>
            <wp:extent cx="7046595" cy="57835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78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Goldstein Eyal</w:t>
        </w:r>
      </w:hyperlink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ASURE SOFTWARE,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405 COLORADO STREET, SUITE 1800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151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ASURE SOFTWARE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ASUR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 w:right="640" w:hanging="9"/>
        <w:spacing w:after="0" w:line="258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9"/>
        <w:spacing w:after="0"/>
        <w:tabs>
          <w:tab w:leader="none" w:pos="208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9"/>
        <w:spacing w:after="0"/>
        <w:tabs>
          <w:tab w:leader="none" w:pos="208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Revenue Officer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1" w:space="720"/>
            <w:col w:w="3349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9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AUSTIN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78701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Asure Software, Inc. Common Stock ($0.01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60,000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7.86</w:t>
            </w: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478,017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par value)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Asure Software, Inc. Common Stock ($0.01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54,768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9.18</w:t>
            </w: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423,249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par value)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80" w:type="dxa"/>
            <w:vAlign w:val="bottom"/>
            <w:gridSpan w:val="11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Asure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Software,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7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7.86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05/07/2026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39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05/13/2026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620" w:type="dxa"/>
            <w:vAlign w:val="bottom"/>
          </w:tcPr>
          <w:p>
            <w:pPr>
              <w:jc w:val="center"/>
              <w:ind w:left="3216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($0.01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vMerge w:val="restart"/>
          </w:tcPr>
          <w:p>
            <w:pPr>
              <w:jc w:val="center"/>
              <w:ind w:left="321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jc w:val="center"/>
              <w:ind w:left="3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value)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represent the payment of exercise price and tax liability associated with the exercise of stock options that were originally granted on May 13, 2021.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grant of employee stock options that vested 1/3rd on the first anniversary of the grant date of May 13, 2021, (the "Grant Date") and the remaining 2/3rds vested over a period of two years in equal monthly installments with the last such vesting date being the third anniversary of the Grant Date.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Eyal Goldstein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05/11/2026</w:t>
            </w: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02239" TargetMode="External"/><Relationship Id="rId14" Type="http://schemas.openxmlformats.org/officeDocument/2006/relationships/hyperlink" Target="http://www.sec.gov/cgi-bin/browse-edgar?action=getcompany&amp;CIK=00008841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2026-05-11T15:40:21Z</dcterms:created>
  <dcterms:modified xsi:type="dcterms:W3CDTF">2026-05-11T15:40:21Z</dcterms:modified>
</cp:coreProperties>
</file>